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_rels/document.xml.rels" ContentType="application/vnd.openxmlformats-package.relationships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_rels/item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ConsTitle"/>
        <w:ind w:left="-114" w:right="-505" w:firstLine="114"/>
        <w:jc w:val="right"/>
        <w:rPr>
          <w:rFonts w:ascii="Times New Roman" w:hAnsi="Times New Roman" w:cs="Times New Roman"/>
          <w:b w:val="false"/>
          <w:bCs w:val="false"/>
          <w:sz w:val="24"/>
          <w:szCs w:val="24"/>
          <w:highlight w:val="none"/>
        </w:rPr>
      </w:pPr>
      <w:r>
        <w:rPr>
          <w:rFonts w:cs="Times New Roman" w:ascii="Times New Roman" w:hAnsi="Times New Roman"/>
          <w:b w:val="false"/>
          <w:bCs w:val="false"/>
          <w:sz w:val="24"/>
          <w:szCs w:val="24"/>
        </w:rPr>
      </w:r>
    </w:p>
    <w:p>
      <w:pPr>
        <w:pStyle w:val="ConsTitle"/>
        <w:ind w:left="-114" w:right="-505" w:firstLine="114"/>
        <w:jc w:val="right"/>
        <w:rPr>
          <w:rFonts w:ascii="Times New Roman" w:hAnsi="Times New Roman" w:cs="Times New Roman"/>
          <w:b w:val="false"/>
          <w:bCs w:val="false"/>
          <w:sz w:val="24"/>
          <w:szCs w:val="24"/>
          <w:highlight w:val="none"/>
        </w:rPr>
      </w:pPr>
      <w:r>
        <w:rPr>
          <w:rFonts w:cs="Times New Roman" w:ascii="Times New Roman" w:hAnsi="Times New Roman"/>
          <w:b w:val="false"/>
          <w:bCs w:val="false"/>
          <w:sz w:val="24"/>
          <w:szCs w:val="24"/>
        </w:rPr>
      </w:r>
    </w:p>
    <w:p>
      <w:pPr>
        <w:pStyle w:val="ConsTitle"/>
        <w:ind w:left="-114" w:right="-505" w:firstLine="114"/>
        <w:jc w:val="right"/>
        <w:rPr>
          <w:rFonts w:ascii="Times New Roman" w:hAnsi="Times New Roman" w:cs="Times New Roman"/>
          <w:b w:val="false"/>
          <w:bCs w:val="false"/>
          <w:sz w:val="24"/>
          <w:szCs w:val="24"/>
          <w:highlight w:val="none"/>
        </w:rPr>
      </w:pPr>
      <w:r>
        <w:rPr>
          <w:rFonts w:cs="Times New Roman" w:ascii="Times New Roman" w:hAnsi="Times New Roman"/>
          <w:b w:val="false"/>
          <w:bCs w:val="false"/>
          <w:sz w:val="24"/>
          <w:szCs w:val="24"/>
        </w:rPr>
      </w:r>
    </w:p>
    <w:p>
      <w:pPr>
        <w:pStyle w:val="Normal"/>
        <w:keepNext w:val="true"/>
        <w:keepLines/>
        <w:jc w:val="right"/>
        <w:rPr>
          <w:b/>
          <w:bCs/>
          <w:color w:val="000000" w:themeColor="text1"/>
          <w:sz w:val="24"/>
          <w:szCs w:val="24"/>
        </w:rPr>
      </w:pPr>
      <w:r>
        <w:rPr>
          <w:b/>
          <w:bCs/>
          <w:color w:val="000000" w:themeColor="text1"/>
          <w:sz w:val="24"/>
          <w:szCs w:val="24"/>
        </w:rPr>
      </w:r>
    </w:p>
    <w:p>
      <w:pPr>
        <w:pStyle w:val="Normal"/>
        <w:keepNext w:val="true"/>
        <w:keepLines/>
        <w:jc w:val="center"/>
        <w:rPr>
          <w:rFonts w:eastAsia="Calibri"/>
          <w:b/>
          <w:color w:val="000000" w:themeColor="text1"/>
        </w:rPr>
      </w:pPr>
      <w:r>
        <w:rPr>
          <w:rFonts w:eastAsia="Calibri"/>
          <w:b/>
          <w:color w:val="000000" w:themeColor="text1"/>
        </w:rPr>
        <w:t xml:space="preserve">Технические требования на поставку </w:t>
      </w:r>
    </w:p>
    <w:p>
      <w:pPr>
        <w:pStyle w:val="Normal"/>
        <w:keepNext w:val="true"/>
        <w:keepLines/>
        <w:jc w:val="center"/>
        <w:rPr>
          <w:rFonts w:eastAsia="Calibri"/>
          <w:b/>
          <w:color w:val="000000" w:themeColor="text1"/>
        </w:rPr>
      </w:pPr>
      <w:r>
        <w:rPr>
          <w:rFonts w:eastAsia="Calibri"/>
          <w:b/>
          <w:color w:val="000000" w:themeColor="text1"/>
        </w:rPr>
      </w:r>
    </w:p>
    <w:p>
      <w:pPr>
        <w:pStyle w:val="Normal"/>
        <w:keepNext w:val="true"/>
        <w:keepLines/>
        <w:jc w:val="center"/>
        <w:rPr>
          <w:rFonts w:eastAsia="Calibri"/>
          <w:b/>
          <w:color w:val="000000" w:themeColor="text1"/>
        </w:rPr>
      </w:pPr>
      <w:r>
        <w:rPr>
          <w:rFonts w:eastAsia="Calibri"/>
          <w:b/>
          <w:color w:val="000000" w:themeColor="text1"/>
        </w:rPr>
      </w:r>
    </w:p>
    <w:p>
      <w:pPr>
        <w:pStyle w:val="Normal"/>
        <w:keepNext w:val="true"/>
        <w:keepLines/>
        <w:jc w:val="center"/>
        <w:rPr>
          <w:rFonts w:ascii="Times New Roman" w:hAnsi="Times New Roman"/>
          <w:color w:val="000000" w:themeColor="text1"/>
          <w:sz w:val="24"/>
          <w:szCs w:val="24"/>
          <w14:ligatures w14:val="none"/>
        </w:rPr>
      </w:pPr>
      <w:r>
        <w:rPr>
          <w:color w:val="000000" w:themeColor="text1"/>
          <w:sz w:val="24"/>
          <w:szCs w:val="24"/>
        </w:rPr>
        <w:t>«ОКПД2 26.20.40.190 Поставка запасных частей для серверного оборудования для АО «ДГК» в г. Хабаровске»</w:t>
      </w:r>
    </w:p>
    <w:p>
      <w:pPr>
        <w:pStyle w:val="Normal"/>
        <w:keepNext w:val="true"/>
        <w:keepLines/>
        <w:jc w:val="center"/>
        <w:rPr>
          <w:rFonts w:eastAsia="Calibri"/>
          <w:b/>
          <w:bCs/>
          <w:color w:val="000000" w:themeColor="text1"/>
          <w:sz w:val="26"/>
          <w:szCs w:val="26"/>
          <w:highlight w:val="yellow"/>
        </w:rPr>
      </w:pPr>
      <w:r>
        <w:rPr>
          <w:rFonts w:eastAsia="Calibri"/>
          <w:b/>
          <w:bCs/>
          <w:color w:val="000000" w:themeColor="text1"/>
          <w:sz w:val="26"/>
          <w:szCs w:val="26"/>
          <w:highlight w:val="yellow"/>
        </w:rPr>
      </w:r>
    </w:p>
    <w:p>
      <w:pPr>
        <w:pStyle w:val="Normal"/>
        <w:keepNext w:val="true"/>
        <w:keepLines/>
        <w:jc w:val="center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Лот № 32007036-ЭКСП ДИТ-2026-ДГК</w:t>
      </w:r>
    </w:p>
    <w:p>
      <w:pPr>
        <w:pStyle w:val="Normal"/>
        <w:widowControl w:val="false"/>
        <w:spacing w:before="120" w:after="120"/>
        <w:jc w:val="center"/>
        <w:rPr>
          <w:rStyle w:val="Style8"/>
          <w:b w:val="false"/>
          <w:bCs w:val="false"/>
          <w:color w:val="000000" w:themeColor="text1"/>
          <w:sz w:val="28"/>
          <w:szCs w:val="28"/>
        </w:rPr>
      </w:pPr>
      <w:r>
        <w:rPr>
          <w:b w:val="false"/>
          <w:bCs w:val="false"/>
          <w:color w:val="000000" w:themeColor="text1"/>
          <w:sz w:val="28"/>
          <w:szCs w:val="28"/>
        </w:rPr>
      </w:r>
    </w:p>
    <w:p>
      <w:pPr>
        <w:pStyle w:val="Normal"/>
        <w:keepNext w:val="true"/>
        <w:keepLines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</w:r>
    </w:p>
    <w:p>
      <w:pPr>
        <w:pStyle w:val="Normal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</w:r>
      <w:r>
        <w:br w:type="page"/>
      </w:r>
    </w:p>
    <w:p>
      <w:pPr>
        <w:pStyle w:val="Normal"/>
        <w:jc w:val="center"/>
        <w:rPr>
          <w:b/>
          <w:color w:val="000000" w:themeColor="text1"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  <w:t>СОДЕРЖАНИЕ</w:t>
      </w:r>
    </w:p>
    <w:p>
      <w:pPr>
        <w:pStyle w:val="Normal"/>
        <w:jc w:val="center"/>
        <w:rPr>
          <w:b/>
          <w:color w:val="000000" w:themeColor="text1"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</w:r>
    </w:p>
    <w:tbl>
      <w:tblPr>
        <w:tblStyle w:val="905"/>
        <w:tblW w:w="10064" w:type="dxa"/>
        <w:jc w:val="left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 w:noHBand="0" w:noVBand="1" w:firstColumn="1" w:lastRow="0" w:lastColumn="0" w:firstRow="1"/>
      </w:tblPr>
      <w:tblGrid>
        <w:gridCol w:w="563"/>
        <w:gridCol w:w="9500"/>
      </w:tblGrid>
      <w:tr>
        <w:trPr/>
        <w:tc>
          <w:tcPr>
            <w:tcW w:w="10063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i w:val="false"/>
                <w:strike w:val="false"/>
                <w:dstrike w:val="false"/>
                <w:color w:val="000000"/>
                <w:kern w:val="0"/>
                <w:position w:val="0"/>
                <w:sz w:val="24"/>
                <w:sz w:val="24"/>
                <w:szCs w:val="24"/>
                <w:u w:val="none"/>
                <w:vertAlign w:val="baseline"/>
                <w:lang w:val="ru-RU" w:eastAsia="ru-RU" w:bidi="ar-SA"/>
              </w:rPr>
              <w:t>СОДЕРЖАНИЕ</w:t>
            </w:r>
          </w:p>
          <w:p>
            <w:pPr>
              <w:pStyle w:val="Normal"/>
              <w:widowControl w:val="fals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W w:w="563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9500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370" w:hRule="atLeast"/>
        </w:trPr>
        <w:tc>
          <w:tcPr>
            <w:tcW w:w="563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left"/>
              <w:rPr>
                <w:bCs/>
                <w:i/>
                <w:i/>
                <w:sz w:val="24"/>
                <w:szCs w:val="24"/>
              </w:rPr>
            </w:pPr>
            <w:r>
              <w:rPr>
                <w:rFonts w:eastAsia="Times New Roman" w:cs="Times New Roman"/>
                <w:b w:val="false"/>
                <w:i/>
                <w:iCs/>
                <w:strike w:val="false"/>
                <w:dstrike w:val="false"/>
                <w:color w:val="000000"/>
                <w:kern w:val="0"/>
                <w:position w:val="0"/>
                <w:sz w:val="24"/>
                <w:sz w:val="24"/>
                <w:szCs w:val="24"/>
                <w:u w:val="none"/>
                <w:vertAlign w:val="baseline"/>
                <w:lang w:val="ru-RU" w:eastAsia="ru-RU" w:bidi="ar-SA"/>
              </w:rPr>
              <w:t>1.</w:t>
            </w:r>
          </w:p>
        </w:tc>
        <w:tc>
          <w:tcPr>
            <w:tcW w:w="9500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left"/>
              <w:rPr>
                <w:bCs/>
                <w:i/>
                <w:i/>
                <w:sz w:val="24"/>
                <w:szCs w:val="24"/>
              </w:rPr>
            </w:pPr>
            <w:r>
              <w:rPr>
                <w:rFonts w:eastAsia="Times New Roman" w:cs="Times New Roman"/>
                <w:b w:val="false"/>
                <w:i/>
                <w:iCs/>
                <w:strike w:val="false"/>
                <w:dstrike w:val="false"/>
                <w:color w:val="000000"/>
                <w:kern w:val="0"/>
                <w:position w:val="0"/>
                <w:sz w:val="24"/>
                <w:sz w:val="24"/>
                <w:szCs w:val="24"/>
                <w:u w:val="none"/>
                <w:vertAlign w:val="baseline"/>
                <w:lang w:val="ru-RU" w:eastAsia="ru-RU" w:bidi="ar-SA"/>
              </w:rPr>
              <w:t>Общие сведения</w:t>
            </w:r>
          </w:p>
        </w:tc>
      </w:tr>
      <w:tr>
        <w:trPr/>
        <w:tc>
          <w:tcPr>
            <w:tcW w:w="563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left"/>
              <w:rPr>
                <w:rFonts w:ascii="Times New Roman" w:hAnsi="Times New Roman" w:eastAsia="Times New Roman" w:cs="Times New Roman"/>
                <w:b w:val="false"/>
                <w:i/>
                <w:i/>
                <w:iCs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vertAlign w:val="baseline"/>
              </w:rPr>
            </w:pPr>
            <w:r>
              <w:rPr>
                <w:rFonts w:eastAsia="Times New Roman" w:cs="Times New Roman"/>
                <w:b w:val="false"/>
                <w:i/>
                <w:iCs/>
                <w:strike w:val="false"/>
                <w:dstrike w:val="false"/>
                <w:color w:val="000000"/>
                <w:kern w:val="0"/>
                <w:position w:val="0"/>
                <w:sz w:val="24"/>
                <w:sz w:val="24"/>
                <w:szCs w:val="24"/>
                <w:u w:val="none"/>
                <w:vertAlign w:val="baseline"/>
                <w:lang w:val="ru-RU" w:eastAsia="ru-RU" w:bidi="ar-SA"/>
              </w:rPr>
              <w:t xml:space="preserve">1.1. </w:t>
            </w:r>
          </w:p>
        </w:tc>
        <w:tc>
          <w:tcPr>
            <w:tcW w:w="9500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left"/>
              <w:rPr>
                <w:bCs/>
                <w:i/>
                <w:i/>
                <w:sz w:val="24"/>
                <w:szCs w:val="24"/>
              </w:rPr>
            </w:pPr>
            <w:r>
              <w:rPr>
                <w:rFonts w:eastAsia="Times New Roman" w:cs="Times New Roman"/>
                <w:b w:val="false"/>
                <w:i/>
                <w:iCs/>
                <w:strike w:val="false"/>
                <w:dstrike w:val="false"/>
                <w:color w:val="000000"/>
                <w:kern w:val="0"/>
                <w:position w:val="0"/>
                <w:sz w:val="24"/>
                <w:sz w:val="24"/>
                <w:szCs w:val="24"/>
                <w:u w:val="none"/>
                <w:vertAlign w:val="baseline"/>
                <w:lang w:val="ru-RU" w:eastAsia="ru-RU" w:bidi="ar-SA"/>
              </w:rPr>
              <w:t>Наименование закупаемой продукции</w:t>
            </w:r>
          </w:p>
        </w:tc>
      </w:tr>
      <w:tr>
        <w:trPr/>
        <w:tc>
          <w:tcPr>
            <w:tcW w:w="563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left"/>
              <w:rPr>
                <w:bCs/>
                <w:i/>
                <w:i/>
                <w:sz w:val="24"/>
                <w:szCs w:val="24"/>
              </w:rPr>
            </w:pPr>
            <w:r>
              <w:rPr>
                <w:rFonts w:eastAsia="Times New Roman" w:cs="Times New Roman"/>
                <w:b w:val="false"/>
                <w:i/>
                <w:iCs/>
                <w:strike w:val="false"/>
                <w:dstrike w:val="false"/>
                <w:color w:val="000000"/>
                <w:kern w:val="0"/>
                <w:position w:val="0"/>
                <w:sz w:val="24"/>
                <w:sz w:val="24"/>
                <w:szCs w:val="24"/>
                <w:u w:val="none"/>
                <w:vertAlign w:val="baseline"/>
                <w:lang w:val="ru-RU" w:eastAsia="ru-RU" w:bidi="ar-SA"/>
              </w:rPr>
              <w:t>1.2.</w:t>
            </w:r>
          </w:p>
        </w:tc>
        <w:tc>
          <w:tcPr>
            <w:tcW w:w="9500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left"/>
              <w:rPr>
                <w:bCs/>
                <w:i/>
                <w:i/>
                <w:sz w:val="24"/>
                <w:szCs w:val="24"/>
              </w:rPr>
            </w:pPr>
            <w:r>
              <w:rPr>
                <w:rFonts w:eastAsia="Times New Roman" w:cs="Times New Roman"/>
                <w:b w:val="false"/>
                <w:i/>
                <w:iCs/>
                <w:strike w:val="false"/>
                <w:dstrike w:val="false"/>
                <w:color w:val="000000"/>
                <w:kern w:val="0"/>
                <w:position w:val="0"/>
                <w:sz w:val="24"/>
                <w:sz w:val="24"/>
                <w:szCs w:val="24"/>
                <w:u w:val="none"/>
                <w:vertAlign w:val="baseline"/>
                <w:lang w:val="ru-RU" w:eastAsia="ru-RU" w:bidi="ar-SA"/>
              </w:rPr>
              <w:t xml:space="preserve">Цель использования закупаемой продукции </w:t>
            </w:r>
          </w:p>
        </w:tc>
      </w:tr>
      <w:tr>
        <w:trPr/>
        <w:tc>
          <w:tcPr>
            <w:tcW w:w="563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left"/>
              <w:rPr>
                <w:bCs/>
                <w:i/>
                <w:i/>
                <w:sz w:val="24"/>
                <w:szCs w:val="24"/>
              </w:rPr>
            </w:pPr>
            <w:r>
              <w:rPr>
                <w:rFonts w:eastAsia="Times New Roman" w:cs="Times New Roman"/>
                <w:b w:val="false"/>
                <w:i/>
                <w:iCs/>
                <w:strike w:val="false"/>
                <w:dstrike w:val="false"/>
                <w:color w:val="000000"/>
                <w:kern w:val="0"/>
                <w:position w:val="0"/>
                <w:sz w:val="24"/>
                <w:sz w:val="24"/>
                <w:szCs w:val="24"/>
                <w:u w:val="none"/>
                <w:vertAlign w:val="baseline"/>
                <w:lang w:val="ru-RU" w:eastAsia="ru-RU" w:bidi="ar-SA"/>
              </w:rPr>
              <w:t>1.3.</w:t>
            </w:r>
          </w:p>
        </w:tc>
        <w:tc>
          <w:tcPr>
            <w:tcW w:w="9500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left"/>
              <w:rPr>
                <w:bCs/>
                <w:i/>
                <w:i/>
                <w:sz w:val="24"/>
                <w:szCs w:val="24"/>
              </w:rPr>
            </w:pPr>
            <w:r>
              <w:rPr>
                <w:rFonts w:eastAsia="Times New Roman" w:cs="Times New Roman"/>
                <w:b w:val="false"/>
                <w:i/>
                <w:iCs/>
                <w:strike w:val="false"/>
                <w:dstrike w:val="false"/>
                <w:color w:val="000000"/>
                <w:kern w:val="0"/>
                <w:position w:val="0"/>
                <w:sz w:val="24"/>
                <w:sz w:val="24"/>
                <w:szCs w:val="24"/>
                <w:u w:val="none"/>
                <w:vertAlign w:val="baseline"/>
                <w:lang w:val="ru-RU" w:eastAsia="ru-RU" w:bidi="ar-SA"/>
              </w:rPr>
              <w:t xml:space="preserve">Существующее положение </w:t>
            </w:r>
          </w:p>
        </w:tc>
      </w:tr>
      <w:tr>
        <w:trPr>
          <w:trHeight w:val="444" w:hRule="atLeast"/>
        </w:trPr>
        <w:tc>
          <w:tcPr>
            <w:tcW w:w="563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left"/>
              <w:rPr>
                <w:bCs/>
                <w:i/>
                <w:i/>
                <w:sz w:val="24"/>
                <w:szCs w:val="24"/>
              </w:rPr>
            </w:pPr>
            <w:r>
              <w:rPr>
                <w:rFonts w:eastAsia="Times New Roman" w:cs="Times New Roman"/>
                <w:b w:val="false"/>
                <w:i/>
                <w:iCs/>
                <w:strike w:val="false"/>
                <w:dstrike w:val="false"/>
                <w:color w:val="000000"/>
                <w:kern w:val="0"/>
                <w:position w:val="0"/>
                <w:sz w:val="24"/>
                <w:sz w:val="24"/>
                <w:szCs w:val="24"/>
                <w:u w:val="none"/>
                <w:vertAlign w:val="baseline"/>
                <w:lang w:val="ru-RU" w:eastAsia="ru-RU" w:bidi="ar-SA"/>
              </w:rPr>
              <w:t>2.</w:t>
            </w:r>
          </w:p>
        </w:tc>
        <w:tc>
          <w:tcPr>
            <w:tcW w:w="9500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left"/>
              <w:rPr>
                <w:bCs/>
                <w:i/>
                <w:i/>
                <w:sz w:val="24"/>
                <w:szCs w:val="24"/>
              </w:rPr>
            </w:pPr>
            <w:r>
              <w:rPr>
                <w:rFonts w:eastAsia="Times New Roman" w:cs="Times New Roman"/>
                <w:b w:val="false"/>
                <w:i/>
                <w:iCs/>
                <w:strike w:val="false"/>
                <w:dstrike w:val="false"/>
                <w:color w:val="000000"/>
                <w:kern w:val="0"/>
                <w:position w:val="0"/>
                <w:sz w:val="24"/>
                <w:sz w:val="24"/>
                <w:szCs w:val="24"/>
                <w:u w:val="none"/>
                <w:vertAlign w:val="baseline"/>
                <w:lang w:val="ru-RU" w:eastAsia="ru-RU" w:bidi="ar-SA"/>
              </w:rPr>
              <w:t>Требования к продукции</w:t>
            </w:r>
          </w:p>
        </w:tc>
      </w:tr>
      <w:tr>
        <w:trPr>
          <w:trHeight w:val="425" w:hRule="atLeast"/>
        </w:trPr>
        <w:tc>
          <w:tcPr>
            <w:tcW w:w="563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left"/>
              <w:rPr>
                <w:bCs/>
                <w:i/>
                <w:i/>
                <w:sz w:val="24"/>
                <w:szCs w:val="24"/>
              </w:rPr>
            </w:pPr>
            <w:r>
              <w:rPr>
                <w:rFonts w:eastAsia="Times New Roman" w:cs="Times New Roman"/>
                <w:b w:val="false"/>
                <w:i/>
                <w:iCs/>
                <w:strike w:val="false"/>
                <w:dstrike w:val="false"/>
                <w:color w:val="000000"/>
                <w:kern w:val="0"/>
                <w:position w:val="0"/>
                <w:sz w:val="24"/>
                <w:sz w:val="24"/>
                <w:szCs w:val="24"/>
                <w:u w:val="none"/>
                <w:vertAlign w:val="baseline"/>
                <w:lang w:val="ru-RU" w:eastAsia="ru-RU" w:bidi="ar-SA"/>
              </w:rPr>
              <w:t>2.1.</w:t>
            </w:r>
          </w:p>
        </w:tc>
        <w:tc>
          <w:tcPr>
            <w:tcW w:w="9500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left"/>
              <w:rPr>
                <w:bCs/>
                <w:i/>
                <w:i/>
                <w:sz w:val="24"/>
                <w:szCs w:val="24"/>
              </w:rPr>
            </w:pPr>
            <w:r>
              <w:rPr>
                <w:rFonts w:eastAsia="Times New Roman" w:cs="Times New Roman"/>
                <w:b w:val="false"/>
                <w:i/>
                <w:iCs/>
                <w:strike w:val="false"/>
                <w:dstrike w:val="false"/>
                <w:color w:val="000000"/>
                <w:kern w:val="0"/>
                <w:position w:val="0"/>
                <w:sz w:val="24"/>
                <w:sz w:val="24"/>
                <w:szCs w:val="24"/>
                <w:u w:val="none"/>
                <w:vertAlign w:val="baseline"/>
                <w:lang w:val="ru-RU" w:eastAsia="ru-RU" w:bidi="ar-SA"/>
              </w:rPr>
              <w:t>Требования к объемам и срокам поставки</w:t>
            </w:r>
          </w:p>
        </w:tc>
      </w:tr>
      <w:tr>
        <w:trPr>
          <w:trHeight w:val="425" w:hRule="atLeast"/>
        </w:trPr>
        <w:tc>
          <w:tcPr>
            <w:tcW w:w="10063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left"/>
              <w:rPr>
                <w:bCs/>
                <w:i/>
                <w:i/>
                <w:sz w:val="24"/>
                <w:szCs w:val="24"/>
              </w:rPr>
            </w:pPr>
            <w:r>
              <w:rPr>
                <w:rFonts w:eastAsia="Times New Roman" w:cs="Times New Roman"/>
                <w:b w:val="false"/>
                <w:i/>
                <w:iCs/>
                <w:strike w:val="false"/>
                <w:dstrike w:val="false"/>
                <w:color w:val="000000"/>
                <w:kern w:val="0"/>
                <w:position w:val="0"/>
                <w:sz w:val="24"/>
                <w:sz w:val="24"/>
                <w:szCs w:val="24"/>
                <w:u w:val="none"/>
                <w:vertAlign w:val="baseline"/>
                <w:lang w:val="ru-RU" w:eastAsia="ru-RU" w:bidi="ar-SA"/>
              </w:rPr>
              <w:t>2.1.1. Перечень и объем закупаемой продукции</w:t>
            </w:r>
          </w:p>
        </w:tc>
      </w:tr>
      <w:tr>
        <w:trPr>
          <w:trHeight w:val="425" w:hRule="atLeast"/>
        </w:trPr>
        <w:tc>
          <w:tcPr>
            <w:tcW w:w="10063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left"/>
              <w:rPr>
                <w:bCs/>
                <w:i/>
                <w:i/>
                <w:sz w:val="24"/>
                <w:szCs w:val="24"/>
              </w:rPr>
            </w:pPr>
            <w:r>
              <w:rPr>
                <w:rFonts w:eastAsia="Times New Roman" w:cs="Times New Roman"/>
                <w:b w:val="false"/>
                <w:i/>
                <w:iCs/>
                <w:strike w:val="false"/>
                <w:dstrike w:val="false"/>
                <w:color w:val="000000"/>
                <w:kern w:val="0"/>
                <w:position w:val="0"/>
                <w:sz w:val="24"/>
                <w:sz w:val="24"/>
                <w:szCs w:val="24"/>
                <w:u w:val="none"/>
                <w:vertAlign w:val="baseline"/>
                <w:lang w:val="ru-RU" w:eastAsia="ru-RU" w:bidi="ar-SA"/>
              </w:rPr>
              <w:t xml:space="preserve">2.1.2.     Требования к срокам поставки продукции </w:t>
            </w:r>
          </w:p>
        </w:tc>
      </w:tr>
      <w:tr>
        <w:trPr>
          <w:trHeight w:val="425" w:hRule="atLeast"/>
        </w:trPr>
        <w:tc>
          <w:tcPr>
            <w:tcW w:w="10063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left"/>
              <w:rPr>
                <w:bCs/>
                <w:i/>
                <w:i/>
                <w:sz w:val="24"/>
                <w:szCs w:val="24"/>
              </w:rPr>
            </w:pPr>
            <w:r>
              <w:rPr>
                <w:rFonts w:eastAsia="Times New Roman" w:cs="Times New Roman"/>
                <w:b w:val="false"/>
                <w:i/>
                <w:iCs/>
                <w:strike w:val="false"/>
                <w:dstrike w:val="false"/>
                <w:color w:val="000000"/>
                <w:kern w:val="0"/>
                <w:position w:val="0"/>
                <w:sz w:val="24"/>
                <w:sz w:val="24"/>
                <w:szCs w:val="24"/>
                <w:u w:val="none"/>
                <w:vertAlign w:val="baseline"/>
                <w:lang w:val="ru-RU" w:eastAsia="ru-RU" w:bidi="ar-SA"/>
              </w:rPr>
              <w:t>Таблица 1.1 Требования по срокам поставки продукции</w:t>
            </w:r>
          </w:p>
        </w:tc>
      </w:tr>
      <w:tr>
        <w:trPr>
          <w:trHeight w:val="425" w:hRule="atLeast"/>
        </w:trPr>
        <w:tc>
          <w:tcPr>
            <w:tcW w:w="10063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left"/>
              <w:rPr>
                <w:bCs/>
                <w:i/>
                <w:i/>
                <w:sz w:val="24"/>
                <w:szCs w:val="24"/>
              </w:rPr>
            </w:pPr>
            <w:r>
              <w:rPr>
                <w:rFonts w:eastAsia="Times New Roman" w:cs="Times New Roman"/>
                <w:b w:val="false"/>
                <w:i/>
                <w:iCs/>
                <w:strike w:val="false"/>
                <w:dstrike w:val="false"/>
                <w:color w:val="000000"/>
                <w:kern w:val="0"/>
                <w:position w:val="0"/>
                <w:sz w:val="24"/>
                <w:sz w:val="24"/>
                <w:szCs w:val="24"/>
                <w:u w:val="none"/>
                <w:vertAlign w:val="baseline"/>
                <w:lang w:val="ru-RU" w:eastAsia="ru-RU" w:bidi="ar-SA"/>
              </w:rPr>
              <w:t>Таблица 1.2 Требования по срокам оказания сопутствующих услуг</w:t>
            </w:r>
          </w:p>
        </w:tc>
      </w:tr>
      <w:tr>
        <w:trPr>
          <w:trHeight w:val="425" w:hRule="atLeast"/>
        </w:trPr>
        <w:tc>
          <w:tcPr>
            <w:tcW w:w="10063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left"/>
              <w:rPr>
                <w:bCs/>
                <w:i/>
                <w:i/>
                <w:sz w:val="24"/>
                <w:szCs w:val="24"/>
              </w:rPr>
            </w:pPr>
            <w:r>
              <w:rPr>
                <w:rFonts w:eastAsia="Times New Roman" w:cs="Times New Roman"/>
                <w:b w:val="false"/>
                <w:i/>
                <w:iCs/>
                <w:strike w:val="false"/>
                <w:dstrike w:val="false"/>
                <w:color w:val="000000"/>
                <w:kern w:val="0"/>
                <w:position w:val="0"/>
                <w:sz w:val="24"/>
                <w:sz w:val="24"/>
                <w:szCs w:val="24"/>
                <w:u w:val="none"/>
                <w:vertAlign w:val="baseline"/>
                <w:lang w:val="ru-RU" w:eastAsia="ru-RU" w:bidi="ar-SA"/>
              </w:rPr>
              <w:t>Таблица 3. Дополнительные требования к продукции</w:t>
            </w:r>
          </w:p>
        </w:tc>
      </w:tr>
      <w:tr>
        <w:trPr>
          <w:trHeight w:val="567" w:hRule="atLeast"/>
        </w:trPr>
        <w:tc>
          <w:tcPr>
            <w:tcW w:w="10063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left"/>
              <w:rPr>
                <w:bCs/>
                <w:i/>
                <w:i/>
                <w:sz w:val="24"/>
                <w:szCs w:val="24"/>
              </w:rPr>
            </w:pPr>
            <w:r>
              <w:rPr>
                <w:rFonts w:eastAsia="Times New Roman" w:cs="Times New Roman"/>
                <w:b w:val="false"/>
                <w:i/>
                <w:iCs/>
                <w:strike w:val="false"/>
                <w:dstrike w:val="false"/>
                <w:color w:val="000000"/>
                <w:kern w:val="0"/>
                <w:position w:val="0"/>
                <w:sz w:val="24"/>
                <w:sz w:val="24"/>
                <w:szCs w:val="24"/>
                <w:u w:val="none"/>
                <w:vertAlign w:val="baseline"/>
                <w:lang w:val="ru-RU" w:eastAsia="ru-RU" w:bidi="ar-SA"/>
              </w:rPr>
              <w:t xml:space="preserve">3. </w:t>
            </w:r>
            <w:r>
              <w:rPr>
                <w:rFonts w:eastAsia="Times New Roman" w:cs="Times New Roman"/>
                <w:b w:val="false"/>
                <w:i/>
                <w:iCs/>
                <w:strike w:val="false"/>
                <w:dstrike w:val="false"/>
                <w:color w:val="000000"/>
                <w:kern w:val="0"/>
                <w:sz w:val="24"/>
                <w:szCs w:val="24"/>
                <w:u w:val="none"/>
                <w:lang w:val="ru-RU" w:eastAsia="ru-RU" w:bidi="ar-SA"/>
              </w:rPr>
              <w:t>Требования к документации по ценообразованию на этапе закупки</w:t>
            </w:r>
          </w:p>
        </w:tc>
      </w:tr>
      <w:tr>
        <w:trPr/>
        <w:tc>
          <w:tcPr>
            <w:tcW w:w="10063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left"/>
              <w:rPr>
                <w:bCs/>
                <w:i/>
                <w:i/>
                <w:sz w:val="24"/>
                <w:szCs w:val="24"/>
              </w:rPr>
            </w:pPr>
            <w:r>
              <w:rPr>
                <w:rFonts w:eastAsia="Times New Roman" w:cs="Times New Roman"/>
                <w:b w:val="false"/>
                <w:i/>
                <w:iCs/>
                <w:strike w:val="false"/>
                <w:dstrike w:val="false"/>
                <w:color w:val="000000"/>
                <w:kern w:val="0"/>
                <w:position w:val="0"/>
                <w:sz w:val="24"/>
                <w:sz w:val="24"/>
                <w:szCs w:val="24"/>
                <w:u w:val="none"/>
                <w:vertAlign w:val="baseline"/>
                <w:lang w:val="ru-RU" w:eastAsia="ru-RU" w:bidi="ar-SA"/>
              </w:rPr>
              <w:t xml:space="preserve">4. </w:t>
            </w:r>
            <w:r>
              <w:rPr>
                <w:rFonts w:eastAsia="Times New Roman" w:cs="Times New Roman"/>
                <w:b w:val="false"/>
                <w:i/>
                <w:iCs/>
                <w:strike w:val="false"/>
                <w:dstrike w:val="false"/>
                <w:color w:val="000000"/>
                <w:kern w:val="0"/>
                <w:sz w:val="24"/>
                <w:szCs w:val="24"/>
                <w:u w:val="none"/>
                <w:lang w:val="ru-RU" w:eastAsia="ru-RU" w:bidi="ar-SA"/>
              </w:rPr>
              <w:t>Требования к документации по ценообразованию на этапе заключения (исполнения) договора</w:t>
            </w:r>
          </w:p>
        </w:tc>
      </w:tr>
      <w:tr>
        <w:trPr>
          <w:trHeight w:val="490" w:hRule="atLeast"/>
        </w:trPr>
        <w:tc>
          <w:tcPr>
            <w:tcW w:w="10063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left"/>
              <w:rPr>
                <w:bCs/>
                <w:i/>
                <w:i/>
                <w:sz w:val="24"/>
                <w:szCs w:val="24"/>
              </w:rPr>
            </w:pPr>
            <w:r>
              <w:rPr>
                <w:rFonts w:eastAsia="Times New Roman" w:cs="Times New Roman"/>
                <w:b w:val="false"/>
                <w:i/>
                <w:iCs/>
                <w:strike w:val="false"/>
                <w:dstrike w:val="false"/>
                <w:color w:val="000000"/>
                <w:kern w:val="0"/>
                <w:position w:val="0"/>
                <w:sz w:val="24"/>
                <w:sz w:val="24"/>
                <w:szCs w:val="24"/>
                <w:u w:val="none"/>
                <w:vertAlign w:val="baseline"/>
                <w:lang w:val="ru-RU" w:eastAsia="ru-RU" w:bidi="ar-SA"/>
              </w:rPr>
              <w:t xml:space="preserve">5. </w:t>
            </w:r>
            <w:r>
              <w:rPr>
                <w:rFonts w:eastAsia="Times New Roman" w:cs="Times New Roman"/>
                <w:b w:val="false"/>
                <w:i/>
                <w:iCs/>
                <w:strike w:val="false"/>
                <w:dstrike w:val="false"/>
                <w:color w:val="000000"/>
                <w:kern w:val="0"/>
                <w:sz w:val="24"/>
                <w:szCs w:val="24"/>
                <w:u w:val="none"/>
                <w:lang w:val="ru-RU" w:eastAsia="ru-RU" w:bidi="ar-SA"/>
              </w:rPr>
              <w:t xml:space="preserve">Приложения </w:t>
            </w:r>
          </w:p>
        </w:tc>
      </w:tr>
    </w:tbl>
    <w:p>
      <w:pPr>
        <w:pStyle w:val="Heading2"/>
        <w:numPr>
          <w:ilvl w:val="0"/>
          <w:numId w:val="0"/>
        </w:numPr>
        <w:ind w:left="0" w:hanging="0"/>
        <w:rPr>
          <w:b w:val="false"/>
          <w:i/>
          <w:i/>
          <w:color w:val="000000" w:themeColor="text1"/>
        </w:rPr>
      </w:pPr>
      <w:r>
        <w:rPr>
          <w:b w:val="false"/>
          <w:i/>
          <w:color w:val="000000" w:themeColor="text1"/>
        </w:rPr>
      </w:r>
      <w:r>
        <w:br w:type="page"/>
      </w:r>
    </w:p>
    <w:p>
      <w:pPr>
        <w:pStyle w:val="Heading1"/>
        <w:keepLines/>
        <w:numPr>
          <w:ilvl w:val="0"/>
          <w:numId w:val="3"/>
        </w:numPr>
        <w:ind w:left="357" w:hanging="357"/>
        <w:jc w:val="center"/>
        <w:rPr>
          <w:caps/>
          <w:color w:val="000000" w:themeColor="text1"/>
          <w:sz w:val="24"/>
          <w:szCs w:val="24"/>
        </w:rPr>
      </w:pPr>
      <w:bookmarkStart w:id="0" w:name="_Toc51339692"/>
      <w:bookmarkStart w:id="1" w:name="_Toc161133572"/>
      <w:r>
        <w:rPr>
          <w:color w:val="000000" w:themeColor="text1"/>
          <w:sz w:val="24"/>
          <w:szCs w:val="24"/>
          <w:lang w:val="ru-RU"/>
        </w:rPr>
        <w:t>Общие сведения</w:t>
      </w:r>
      <w:bookmarkEnd w:id="0"/>
      <w:bookmarkEnd w:id="1"/>
    </w:p>
    <w:p>
      <w:pPr>
        <w:pStyle w:val="Heading4"/>
        <w:numPr>
          <w:ilvl w:val="1"/>
          <w:numId w:val="3"/>
        </w:numPr>
        <w:rPr>
          <w:color w:val="000000" w:themeColor="text1"/>
        </w:rPr>
      </w:pPr>
      <w:bookmarkStart w:id="2" w:name="_Toc161133574"/>
      <w:r>
        <w:rPr>
          <w:color w:val="000000" w:themeColor="text1"/>
        </w:rPr>
        <w:t>Наименование закупаемой продукции</w:t>
      </w:r>
      <w:bookmarkEnd w:id="2"/>
    </w:p>
    <w:p>
      <w:pPr>
        <w:pStyle w:val="Normal"/>
        <w:rPr>
          <w:rStyle w:val="Style8"/>
          <w:b w:val="false"/>
          <w:bCs w:val="false"/>
          <w:i w:val="false"/>
          <w:i w:val="false"/>
          <w:color w:val="000000" w:themeColor="text1"/>
          <w:sz w:val="24"/>
          <w:szCs w:val="24"/>
        </w:rPr>
      </w:pPr>
      <w:r>
        <w:rPr>
          <w:rFonts w:eastAsia="Calibri"/>
          <w:b w:val="false"/>
          <w:bCs w:val="false"/>
          <w:color w:val="000000" w:themeColor="text1"/>
          <w:sz w:val="24"/>
          <w:szCs w:val="24"/>
        </w:rPr>
        <w:t xml:space="preserve">ОКПД2 </w:t>
      </w:r>
      <w:r>
        <w:rPr>
          <w:color w:val="000000" w:themeColor="text1"/>
          <w:sz w:val="24"/>
          <w:szCs w:val="24"/>
        </w:rPr>
        <w:t>26.20.40.190 Поставка запасных частей для серверного оборудования для АО «ДГК» в г. Хабаровске</w:t>
      </w:r>
    </w:p>
    <w:p>
      <w:pPr>
        <w:pStyle w:val="Heading4"/>
        <w:numPr>
          <w:ilvl w:val="1"/>
          <w:numId w:val="3"/>
        </w:numPr>
        <w:spacing w:before="240" w:after="60"/>
        <w:ind w:left="431" w:hanging="431"/>
        <w:rPr>
          <w:color w:val="000000" w:themeColor="text1"/>
        </w:rPr>
      </w:pPr>
      <w:bookmarkStart w:id="3" w:name="_Toc161133575"/>
      <w:bookmarkStart w:id="4" w:name="_Toc46743507"/>
      <w:r>
        <w:rPr>
          <w:color w:val="000000" w:themeColor="text1"/>
        </w:rPr>
        <w:t xml:space="preserve">Цель </w:t>
      </w:r>
      <w:bookmarkEnd w:id="4"/>
      <w:r>
        <w:rPr>
          <w:color w:val="000000" w:themeColor="text1"/>
          <w:lang w:val="ru-RU"/>
        </w:rPr>
        <w:t>использования закупаемой продукции</w:t>
      </w:r>
      <w:bookmarkEnd w:id="3"/>
      <w:r>
        <w:rPr>
          <w:color w:val="000000" w:themeColor="text1"/>
          <w:lang w:val="ru-RU"/>
        </w:rPr>
        <w:t xml:space="preserve"> </w:t>
      </w:r>
    </w:p>
    <w:p>
      <w:pPr>
        <w:pStyle w:val="Normal"/>
        <w:rPr>
          <w:color w:val="000000" w:themeColor="text1"/>
        </w:rPr>
      </w:pPr>
      <w:r>
        <w:rPr>
          <w:rFonts w:eastAsia="Calibri"/>
          <w:i/>
          <w:color w:val="000000" w:themeColor="text1"/>
          <w:sz w:val="24"/>
          <w:szCs w:val="24"/>
        </w:rPr>
        <w:t>Обеспечение функционирования серверного оборудования</w:t>
      </w:r>
    </w:p>
    <w:p>
      <w:pPr>
        <w:pStyle w:val="Heading4"/>
        <w:numPr>
          <w:ilvl w:val="1"/>
          <w:numId w:val="3"/>
        </w:numPr>
        <w:rPr>
          <w:color w:val="000000" w:themeColor="text1"/>
        </w:rPr>
      </w:pPr>
      <w:bookmarkStart w:id="5" w:name="_Toc46743508"/>
      <w:bookmarkStart w:id="6" w:name="_Toc161133576"/>
      <w:r>
        <w:rPr>
          <w:color w:val="000000" w:themeColor="text1"/>
        </w:rPr>
        <w:t>Существующее положение</w:t>
      </w:r>
      <w:bookmarkEnd w:id="5"/>
      <w:bookmarkEnd w:id="6"/>
      <w:r>
        <w:rPr>
          <w:color w:val="000000" w:themeColor="text1"/>
          <w:lang w:val="ru-RU"/>
        </w:rPr>
        <w:t xml:space="preserve"> </w:t>
      </w:r>
    </w:p>
    <w:p>
      <w:pPr>
        <w:pStyle w:val="Normal"/>
        <w:widowControl w:val="false"/>
        <w:shd w:val="clear" w:color="FFFFFF" w:themeColor="background1" w:fill="FFFFFF" w:themeFill="background1"/>
        <w:tabs>
          <w:tab w:val="clear" w:pos="709"/>
          <w:tab w:val="left" w:pos="426" w:leader="none"/>
        </w:tabs>
        <w:spacing w:before="120" w:after="240"/>
        <w:jc w:val="both"/>
        <w:rPr>
          <w:rFonts w:eastAsia="Calibri"/>
          <w:bCs/>
          <w:i/>
          <w:i/>
          <w:color w:val="000000" w:themeColor="text1"/>
          <w:sz w:val="24"/>
          <w:szCs w:val="24"/>
          <w:highlight w:val="none"/>
        </w:rPr>
      </w:pPr>
      <w:r>
        <w:rPr>
          <w:rFonts w:eastAsia="Calibri"/>
          <w:i/>
          <w:color w:val="000000" w:themeColor="text1"/>
          <w:sz w:val="24"/>
          <w:szCs w:val="24"/>
          <w:highlight w:val="white"/>
        </w:rPr>
        <w:t>Отсутствует</w:t>
      </w:r>
    </w:p>
    <w:p>
      <w:pPr>
        <w:pStyle w:val="Heading1"/>
        <w:keepLines/>
        <w:numPr>
          <w:ilvl w:val="0"/>
          <w:numId w:val="3"/>
        </w:numPr>
        <w:ind w:left="357" w:hanging="357"/>
        <w:jc w:val="center"/>
        <w:rPr>
          <w:iCs/>
          <w:caps/>
          <w:color w:val="000000" w:themeColor="text1"/>
          <w:sz w:val="24"/>
          <w:szCs w:val="24"/>
        </w:rPr>
      </w:pPr>
      <w:bookmarkStart w:id="7" w:name="_Toc51339693"/>
      <w:bookmarkStart w:id="8" w:name="_Toc161133577"/>
      <w:bookmarkStart w:id="9" w:name="_Toc50125126"/>
      <w:bookmarkEnd w:id="9"/>
      <w:r>
        <w:rPr>
          <w:iCs/>
          <w:color w:val="000000" w:themeColor="text1"/>
          <w:sz w:val="24"/>
          <w:szCs w:val="24"/>
        </w:rPr>
        <w:t>Требования к продукции</w:t>
      </w:r>
      <w:bookmarkEnd w:id="7"/>
      <w:bookmarkEnd w:id="8"/>
    </w:p>
    <w:p>
      <w:pPr>
        <w:pStyle w:val="Heading4"/>
        <w:numPr>
          <w:ilvl w:val="1"/>
          <w:numId w:val="3"/>
        </w:numPr>
        <w:rPr>
          <w:color w:val="000000" w:themeColor="text1"/>
        </w:rPr>
      </w:pPr>
      <w:bookmarkStart w:id="10" w:name="_Toc161133578"/>
      <w:r>
        <w:rPr>
          <w:color w:val="000000" w:themeColor="text1"/>
        </w:rPr>
        <w:t xml:space="preserve">Требования к объемам и срокам </w:t>
      </w:r>
      <w:r>
        <w:rPr>
          <w:color w:val="000000" w:themeColor="text1"/>
          <w:lang w:val="ru-RU"/>
        </w:rPr>
        <w:t>поставки</w:t>
      </w:r>
      <w:bookmarkEnd w:id="10"/>
    </w:p>
    <w:p>
      <w:pPr>
        <w:pStyle w:val="Heading3"/>
        <w:numPr>
          <w:ilvl w:val="2"/>
          <w:numId w:val="3"/>
        </w:numPr>
        <w:ind w:left="0" w:right="0" w:hanging="0"/>
        <w:rPr>
          <w:color w:val="000000" w:themeColor="text1"/>
        </w:rPr>
      </w:pPr>
      <w:bookmarkStart w:id="11" w:name="_Toc161133579"/>
      <w:r>
        <w:rPr>
          <w:color w:val="000000" w:themeColor="text1"/>
          <w:lang w:val="ru-RU"/>
        </w:rPr>
        <w:t>Перечень и объем закупаемой продукции</w:t>
      </w:r>
      <w:bookmarkEnd w:id="11"/>
    </w:p>
    <w:p>
      <w:pPr>
        <w:pStyle w:val="Normal"/>
        <w:widowControl w:val="false"/>
        <w:tabs>
          <w:tab w:val="clear" w:pos="709"/>
          <w:tab w:val="left" w:pos="426" w:leader="none"/>
        </w:tabs>
        <w:spacing w:before="120" w:after="120"/>
        <w:jc w:val="both"/>
        <w:rPr>
          <w:rFonts w:eastAsia="Calibri"/>
          <w:sz w:val="24"/>
          <w:szCs w:val="24"/>
          <w:highlight w:val="none"/>
        </w:rPr>
      </w:pPr>
      <w:r>
        <w:rPr>
          <w:rFonts w:eastAsia="Calibri"/>
          <w:sz w:val="24"/>
          <w:szCs w:val="24"/>
        </w:rPr>
        <w:t>Перечень</w:t>
      </w:r>
      <w:r>
        <w:rPr>
          <w:sz w:val="24"/>
          <w:szCs w:val="24"/>
        </w:rPr>
        <w:t xml:space="preserve"> </w:t>
      </w:r>
      <w:r>
        <w:rPr>
          <w:rFonts w:eastAsia="Calibri"/>
          <w:sz w:val="24"/>
          <w:szCs w:val="24"/>
        </w:rPr>
        <w:t>необходимой</w:t>
      </w:r>
      <w:r>
        <w:rPr>
          <w:sz w:val="24"/>
          <w:szCs w:val="24"/>
        </w:rPr>
        <w:t xml:space="preserve"> </w:t>
      </w:r>
      <w:r>
        <w:rPr>
          <w:rFonts w:eastAsia="Calibri"/>
          <w:sz w:val="24"/>
          <w:szCs w:val="24"/>
        </w:rPr>
        <w:t xml:space="preserve">к поставке продукции, функциональные характеристики (потребительские свойства), количественные, качественные характеристики продукции и место поставки приведены в  Приложении №1  к настоящим Техническим требованиям. </w:t>
      </w:r>
    </w:p>
    <w:p>
      <w:pPr>
        <w:pStyle w:val="Heading3"/>
        <w:numPr>
          <w:ilvl w:val="2"/>
          <w:numId w:val="3"/>
        </w:numPr>
        <w:ind w:left="0" w:right="0" w:hanging="0"/>
        <w:rPr>
          <w:color w:val="000000" w:themeColor="text1"/>
        </w:rPr>
      </w:pPr>
      <w:bookmarkStart w:id="12" w:name="_Toc161133584"/>
      <w:bookmarkStart w:id="13" w:name="_Toc51339696"/>
      <w:r>
        <w:rPr>
          <w:color w:val="000000" w:themeColor="text1"/>
          <w:lang w:val="ru-RU"/>
        </w:rPr>
        <w:t xml:space="preserve">Требования </w:t>
      </w:r>
      <w:bookmarkEnd w:id="13"/>
      <w:r>
        <w:rPr>
          <w:color w:val="000000" w:themeColor="text1"/>
          <w:lang w:val="ru-RU"/>
        </w:rPr>
        <w:t>к срокам поставки продукции и оказания сопутствующих услуг</w:t>
      </w:r>
      <w:bookmarkEnd w:id="12"/>
    </w:p>
    <w:p>
      <w:pPr>
        <w:pStyle w:val="Normal"/>
        <w:numPr>
          <w:ilvl w:val="0"/>
          <w:numId w:val="0"/>
        </w:numPr>
        <w:spacing w:before="60" w:after="60"/>
        <w:ind w:left="0" w:hanging="0"/>
        <w:rPr>
          <w:color w:val="000000" w:themeColor="text1"/>
          <w:sz w:val="24"/>
          <w:szCs w:val="24"/>
          <w:highlight w:val="none"/>
        </w:rPr>
      </w:pPr>
      <w:bookmarkStart w:id="14" w:name="_Toc161133585"/>
      <w:bookmarkStart w:id="15" w:name="_Toc50125127"/>
      <w:bookmarkStart w:id="16" w:name="_Toc51339697"/>
      <w:bookmarkStart w:id="17" w:name="_Toc50125126_Копия_1"/>
      <w:bookmarkEnd w:id="17"/>
      <w:r>
        <w:rPr>
          <w:color w:val="000000" w:themeColor="text1"/>
          <w:sz w:val="24"/>
          <w:szCs w:val="24"/>
        </w:rPr>
        <w:t>Таблица 1.</w:t>
      </w:r>
      <w:r>
        <w:rPr>
          <w:color w:val="000000" w:themeColor="text1"/>
          <w:sz w:val="24"/>
          <w:szCs w:val="24"/>
          <w:lang w:val="ru-RU"/>
        </w:rPr>
        <w:t>1</w:t>
      </w:r>
      <w:r>
        <w:rPr>
          <w:color w:val="000000" w:themeColor="text1"/>
          <w:sz w:val="24"/>
          <w:szCs w:val="24"/>
        </w:rPr>
        <w:t xml:space="preserve"> </w:t>
      </w:r>
      <w:bookmarkStart w:id="18" w:name="_Hlk50465284"/>
      <w:r>
        <w:rPr>
          <w:color w:val="000000" w:themeColor="text1"/>
          <w:sz w:val="24"/>
          <w:szCs w:val="24"/>
        </w:rPr>
        <w:t xml:space="preserve">Требования по срокам </w:t>
      </w:r>
      <w:bookmarkEnd w:id="15"/>
      <w:bookmarkEnd w:id="16"/>
      <w:bookmarkEnd w:id="18"/>
      <w:r>
        <w:rPr>
          <w:color w:val="000000" w:themeColor="text1"/>
          <w:sz w:val="24"/>
          <w:szCs w:val="24"/>
          <w:lang w:val="ru-RU"/>
        </w:rPr>
        <w:t>поставки продукции</w:t>
      </w:r>
      <w:bookmarkEnd w:id="14"/>
      <w:r>
        <w:rPr>
          <w:color w:val="000000" w:themeColor="text1"/>
          <w:sz w:val="24"/>
          <w:szCs w:val="24"/>
          <w:lang w:val="ru-RU"/>
        </w:rPr>
        <w:t xml:space="preserve">  </w:t>
      </w:r>
    </w:p>
    <w:tbl>
      <w:tblPr>
        <w:tblW w:w="12225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843"/>
        <w:gridCol w:w="5995"/>
        <w:gridCol w:w="2553"/>
        <w:gridCol w:w="2833"/>
      </w:tblGrid>
      <w:tr>
        <w:trPr/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№ </w:t>
            </w:r>
            <w:r>
              <w:rPr>
                <w:color w:val="000000" w:themeColor="text1"/>
                <w:sz w:val="20"/>
                <w:szCs w:val="20"/>
              </w:rPr>
              <w:t>п/п</w:t>
            </w:r>
          </w:p>
        </w:tc>
        <w:tc>
          <w:tcPr>
            <w:tcW w:w="5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Наименование продукции / партии продукции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Требования к началу срока поставки продукции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Требования к окончанию срока поставки продукции</w:t>
            </w:r>
          </w:p>
        </w:tc>
      </w:tr>
      <w:tr>
        <w:trPr>
          <w:trHeight w:val="433" w:hRule="atLeast"/>
        </w:trPr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5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7"/>
              <w:keepNext w:val="false"/>
              <w:widowControl w:val="false"/>
              <w:spacing w:before="40" w:after="4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7"/>
              <w:keepNext w:val="false"/>
              <w:widowControl w:val="false"/>
              <w:spacing w:before="40" w:after="4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4</w:t>
            </w:r>
          </w:p>
        </w:tc>
      </w:tr>
      <w:tr>
        <w:trPr>
          <w:trHeight w:val="459" w:hRule="atLeast"/>
        </w:trPr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 w:themeColor="text1"/>
                <w:sz w:val="20"/>
                <w:szCs w:val="20"/>
                <w14:ligatures w14:val="none"/>
              </w:rPr>
            </w:pPr>
            <w:r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5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color w:val="000000" w:themeColor="text1"/>
                <w:sz w:val="20"/>
                <w:szCs w:val="20"/>
                <w:lang w:val="en-US"/>
                <w14:ligatures w14:val="none"/>
              </w:rPr>
            </w:pPr>
            <w:r>
              <w:rPr>
                <w:color w:val="000000" w:themeColor="text1"/>
                <w:sz w:val="20"/>
                <w:szCs w:val="20"/>
                <w:lang w:val="en-US"/>
              </w:rPr>
              <w:t>ОКПД2 26.20.40.190 Поставка запасных частей для серверного оборудования для АО «ДГК» в г. Хабаровске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color w:val="000000" w:themeColor="text1"/>
                <w:sz w:val="24"/>
                <w:szCs w:val="24"/>
                <w14:ligatures w14:val="none"/>
              </w:rPr>
            </w:pPr>
            <w:r>
              <w:rPr>
                <w:color w:val="000000" w:themeColor="text1"/>
                <w:sz w:val="20"/>
                <w:szCs w:val="20"/>
                <w:lang w:val="en-US"/>
              </w:rPr>
              <w:t>с даты заключения договора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 w:themeColor="text1"/>
                <w:sz w:val="24"/>
                <w:szCs w:val="24"/>
                <w14:ligatures w14:val="none"/>
              </w:rPr>
            </w:pPr>
            <w:r>
              <w:rPr>
                <w:color w:val="000000" w:themeColor="text1"/>
                <w:sz w:val="20"/>
                <w:szCs w:val="20"/>
              </w:rPr>
              <w:t>в течение 60 (шестидесяти) календарных дней</w:t>
            </w:r>
            <w:r>
              <w:rPr>
                <w:color w:val="000000" w:themeColor="text1"/>
                <w:sz w:val="24"/>
                <w:szCs w:val="24"/>
                <w14:ligatures w14:val="none"/>
              </w:rPr>
              <w:t xml:space="preserve"> </w:t>
            </w:r>
            <w:r>
              <w:rPr>
                <w:color w:val="000000" w:themeColor="text1"/>
                <w:sz w:val="20"/>
                <w:szCs w:val="20"/>
                <w:lang w:val="en-US"/>
              </w:rPr>
              <w:t>с даты заключения договора</w:t>
            </w:r>
          </w:p>
        </w:tc>
      </w:tr>
    </w:tbl>
    <w:p>
      <w:pPr>
        <w:pStyle w:val="Heading1"/>
        <w:numPr>
          <w:ilvl w:val="0"/>
          <w:numId w:val="0"/>
        </w:numPr>
        <w:ind w:left="0" w:hanging="0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</w:r>
    </w:p>
    <w:p>
      <w:pPr>
        <w:pStyle w:val="Heading1"/>
        <w:numPr>
          <w:ilvl w:val="0"/>
          <w:numId w:val="0"/>
        </w:numPr>
        <w:ind w:left="0" w:hanging="0"/>
        <w:rPr>
          <w:color w:val="000000" w:themeColor="text1"/>
          <w:sz w:val="24"/>
          <w:szCs w:val="24"/>
          <w:highlight w:val="none"/>
        </w:rPr>
      </w:pPr>
      <w:bookmarkStart w:id="19" w:name="_Toc161133586"/>
      <w:r>
        <w:rPr>
          <w:color w:val="000000" w:themeColor="text1"/>
          <w:sz w:val="24"/>
          <w:szCs w:val="24"/>
        </w:rPr>
        <w:t>Таблица 1.</w:t>
      </w:r>
      <w:r>
        <w:rPr>
          <w:color w:val="000000" w:themeColor="text1"/>
          <w:sz w:val="24"/>
          <w:szCs w:val="24"/>
          <w:lang w:val="ru-RU"/>
        </w:rPr>
        <w:t>2</w:t>
      </w:r>
      <w:r>
        <w:rPr>
          <w:color w:val="000000" w:themeColor="text1"/>
          <w:sz w:val="24"/>
          <w:szCs w:val="24"/>
        </w:rPr>
        <w:t xml:space="preserve"> Требования по срокам </w:t>
      </w:r>
      <w:r>
        <w:rPr>
          <w:color w:val="000000" w:themeColor="text1"/>
          <w:sz w:val="24"/>
          <w:szCs w:val="24"/>
          <w:lang w:val="ru-RU"/>
        </w:rPr>
        <w:t xml:space="preserve">оказания </w:t>
      </w:r>
      <w:r>
        <w:rPr>
          <w:color w:val="000000" w:themeColor="text1"/>
          <w:sz w:val="24"/>
          <w:szCs w:val="24"/>
        </w:rPr>
        <w:t>сопутствующих услуг</w:t>
      </w:r>
      <w:bookmarkEnd w:id="19"/>
    </w:p>
    <w:tbl>
      <w:tblPr>
        <w:tblW w:w="14080" w:type="dxa"/>
        <w:jc w:val="left"/>
        <w:tblInd w:w="-5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5"/>
        <w:gridCol w:w="982"/>
        <w:gridCol w:w="2127"/>
        <w:gridCol w:w="2267"/>
        <w:gridCol w:w="2551"/>
        <w:gridCol w:w="2278"/>
        <w:gridCol w:w="3868"/>
      </w:tblGrid>
      <w:tr>
        <w:trPr/>
        <w:tc>
          <w:tcPr>
            <w:tcW w:w="5" w:type="dxa"/>
            <w:tcBorders/>
          </w:tcPr>
          <w:p>
            <w:pPr>
              <w:pStyle w:val="Normal"/>
              <w:widowControl w:val="false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№ </w:t>
            </w:r>
            <w:r>
              <w:rPr>
                <w:color w:val="000000" w:themeColor="text1"/>
                <w:sz w:val="20"/>
                <w:szCs w:val="20"/>
              </w:rPr>
              <w:t>п/п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Наименование услуг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27"/>
              <w:keepNext w:val="false"/>
              <w:widowControl w:val="false"/>
              <w:spacing w:before="40" w:after="4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Требования к началу срока оказания услуг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yle27"/>
              <w:keepNext w:val="false"/>
              <w:widowControl w:val="false"/>
              <w:spacing w:before="40" w:after="4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Требования к окончанию срока оказания услуг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7"/>
              <w:keepNext w:val="false"/>
              <w:widowControl w:val="false"/>
              <w:spacing w:before="40" w:after="4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Примечание</w:t>
            </w:r>
          </w:p>
        </w:tc>
        <w:tc>
          <w:tcPr>
            <w:tcW w:w="0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3868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5" w:type="dxa"/>
            <w:tcBorders/>
          </w:tcPr>
          <w:p>
            <w:pPr>
              <w:pStyle w:val="Normal"/>
              <w:widowControl w:val="false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7"/>
              <w:keepNext w:val="false"/>
              <w:widowControl w:val="false"/>
              <w:spacing w:before="40" w:after="40"/>
              <w:jc w:val="center"/>
              <w:rPr>
                <w:color w:val="000000" w:themeColor="text1"/>
                <w:szCs w:val="22"/>
              </w:rPr>
            </w:pPr>
            <w:r>
              <w:rPr>
                <w:color w:val="000000" w:themeColor="text1"/>
                <w:szCs w:val="22"/>
              </w:rPr>
              <w:t>3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7"/>
              <w:keepNext w:val="false"/>
              <w:widowControl w:val="false"/>
              <w:spacing w:before="40" w:after="40"/>
              <w:jc w:val="center"/>
              <w:rPr>
                <w:color w:val="000000" w:themeColor="text1"/>
                <w:szCs w:val="22"/>
              </w:rPr>
            </w:pPr>
            <w:r>
              <w:rPr>
                <w:color w:val="000000" w:themeColor="text1"/>
                <w:szCs w:val="22"/>
              </w:rPr>
              <w:t>4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7"/>
              <w:keepNext w:val="false"/>
              <w:widowControl w:val="false"/>
              <w:spacing w:before="40" w:after="40"/>
              <w:jc w:val="center"/>
              <w:rPr>
                <w:color w:val="000000" w:themeColor="text1"/>
                <w:szCs w:val="22"/>
              </w:rPr>
            </w:pPr>
            <w:r>
              <w:rPr>
                <w:color w:val="000000" w:themeColor="text1"/>
                <w:szCs w:val="22"/>
              </w:rPr>
              <w:t>5</w:t>
            </w:r>
          </w:p>
        </w:tc>
        <w:tc>
          <w:tcPr>
            <w:tcW w:w="0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3868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5" w:type="dxa"/>
            <w:tcBorders/>
          </w:tcPr>
          <w:p>
            <w:pPr>
              <w:pStyle w:val="Normal"/>
              <w:widowControl w:val="false"/>
              <w:jc w:val="center"/>
              <w:rPr>
                <w:i/>
                <w:i/>
                <w:iCs/>
                <w:color w:val="000000" w:themeColor="text1"/>
                <w:sz w:val="24"/>
                <w:szCs w:val="24"/>
              </w:rPr>
            </w:pPr>
            <w:r>
              <w:rPr>
                <w:i/>
                <w:iCs/>
                <w:color w:val="000000" w:themeColor="text1"/>
                <w:sz w:val="24"/>
                <w:szCs w:val="24"/>
              </w:rPr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i/>
                <w:i/>
                <w:iCs/>
                <w:color w:val="000000" w:themeColor="text1"/>
                <w:sz w:val="24"/>
                <w:szCs w:val="24"/>
              </w:rPr>
            </w:pPr>
            <w:r>
              <w:rPr>
                <w:i/>
                <w:iCs/>
                <w:color w:val="000000" w:themeColor="text1"/>
                <w:sz w:val="22"/>
                <w:szCs w:val="22"/>
              </w:rPr>
              <w:t>1.</w:t>
            </w:r>
          </w:p>
        </w:tc>
        <w:tc>
          <w:tcPr>
            <w:tcW w:w="922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9"/>
                <w:tab w:val="left" w:pos="426" w:leader="none"/>
              </w:tabs>
              <w:spacing w:before="0" w:after="12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i/>
                <w:iCs/>
                <w:color w:val="000000" w:themeColor="text1"/>
                <w:sz w:val="20"/>
                <w:szCs w:val="20"/>
              </w:rPr>
              <w:t>Не требуется</w:t>
            </w:r>
          </w:p>
        </w:tc>
        <w:tc>
          <w:tcPr>
            <w:tcW w:w="0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3868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</w:tbl>
    <w:p>
      <w:pPr>
        <w:pStyle w:val="Normal"/>
        <w:spacing w:before="0" w:after="0"/>
        <w:jc w:val="both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>
        <w:rPr>
          <w:rFonts w:eastAsia="Times New Roman" w:cs="Times New Roman"/>
          <w:color w:val="000000" w:themeColor="text1"/>
          <w:sz w:val="24"/>
          <w:szCs w:val="24"/>
        </w:rPr>
      </w:r>
    </w:p>
    <w:tbl>
      <w:tblPr>
        <w:tblStyle w:val="905"/>
        <w:tblW w:w="15285" w:type="dxa"/>
        <w:jc w:val="left"/>
        <w:tblInd w:w="-141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15285"/>
      </w:tblGrid>
      <w:tr>
        <w:trPr>
          <w:trHeight w:val="3013" w:hRule="atLeast"/>
        </w:trPr>
        <w:tc>
          <w:tcPr>
            <w:tcW w:w="15285" w:type="dxa"/>
            <w:tcBorders/>
            <w:vAlign w:val="center"/>
          </w:tcPr>
          <w:p>
            <w:pPr>
              <w:pStyle w:val="Heading1"/>
              <w:widowControl w:val="false"/>
              <w:numPr>
                <w:ilvl w:val="0"/>
                <w:numId w:val="0"/>
              </w:numPr>
              <w:spacing w:before="120" w:after="60"/>
              <w:ind w:left="142" w:right="-86" w:hanging="0"/>
              <w:jc w:val="both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ru-RU" w:bidi="ar-SA"/>
              </w:rPr>
              <w:t xml:space="preserve"> </w:t>
            </w:r>
            <w:r>
              <w:rPr>
                <w:rFonts w:eastAsia="Times New Roman" w:cs="Times New Roman"/>
                <w:b/>
                <w:i w:val="false"/>
                <w:strike w:val="false"/>
                <w:dstrike w:val="false"/>
                <w:color w:val="000000"/>
                <w:kern w:val="0"/>
                <w:position w:val="0"/>
                <w:sz w:val="24"/>
                <w:sz w:val="24"/>
                <w:szCs w:val="24"/>
                <w:u w:val="none"/>
                <w:vertAlign w:val="baseline"/>
                <w:lang w:val="ru-RU" w:eastAsia="ru-RU" w:bidi="ar-SA"/>
              </w:rPr>
              <w:t xml:space="preserve">Таблица 3. Дополнительные требования к продукции </w:t>
            </w:r>
          </w:p>
          <w:tbl>
            <w:tblPr>
              <w:tblStyle w:val="905"/>
              <w:tblW w:w="15293" w:type="dxa"/>
              <w:jc w:val="left"/>
              <w:tblInd w:w="34" w:type="dxa"/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  <w:tblLook w:val="04a0" w:noHBand="0" w:noVBand="1" w:firstColumn="1" w:lastRow="0" w:lastColumn="0" w:firstRow="1"/>
            </w:tblPr>
            <w:tblGrid>
              <w:gridCol w:w="657"/>
              <w:gridCol w:w="4819"/>
              <w:gridCol w:w="3279"/>
              <w:gridCol w:w="1881"/>
              <w:gridCol w:w="2236"/>
              <w:gridCol w:w="2420"/>
            </w:tblGrid>
            <w:tr>
              <w:trPr>
                <w:trHeight w:val="505" w:hRule="atLeast"/>
              </w:trPr>
              <w:tc>
                <w:tcPr>
                  <w:tcW w:w="657" w:type="dxa"/>
                  <w:vMerge w:val="restart"/>
                  <w:tcBorders/>
                  <w:vAlign w:val="center"/>
                </w:tcPr>
                <w:p>
                  <w:pPr>
                    <w:pStyle w:val="Normal"/>
                    <w:widowControl w:val="false"/>
                    <w:spacing w:before="0" w:after="0"/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kern w:val="0"/>
                      <w:sz w:val="24"/>
                      <w:szCs w:val="24"/>
                      <w:lang w:val="ru-RU" w:eastAsia="ru-RU" w:bidi="ar-SA"/>
                    </w:rPr>
                    <w:t xml:space="preserve">№ </w:t>
                  </w:r>
                  <w:r>
                    <w:rPr>
                      <w:b/>
                      <w:bCs/>
                      <w:kern w:val="0"/>
                      <w:sz w:val="24"/>
                      <w:szCs w:val="24"/>
                      <w:lang w:val="ru-RU" w:eastAsia="ru-RU" w:bidi="ar-SA"/>
                    </w:rPr>
                    <w:t>п/п</w:t>
                  </w:r>
                </w:p>
              </w:tc>
              <w:tc>
                <w:tcPr>
                  <w:tcW w:w="4819" w:type="dxa"/>
                  <w:vMerge w:val="restart"/>
                  <w:tcBorders/>
                  <w:vAlign w:val="center"/>
                </w:tcPr>
                <w:p>
                  <w:pPr>
                    <w:pStyle w:val="Normal"/>
                    <w:widowControl w:val="false"/>
                    <w:spacing w:before="0" w:after="0"/>
                    <w:ind w:right="0" w:hanging="0"/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kern w:val="0"/>
                      <w:sz w:val="24"/>
                      <w:szCs w:val="24"/>
                      <w:lang w:val="ru-RU" w:eastAsia="ru-RU" w:bidi="ar-SA"/>
                    </w:rPr>
                    <w:t>Наименование параметра</w:t>
                  </w:r>
                </w:p>
              </w:tc>
              <w:tc>
                <w:tcPr>
                  <w:tcW w:w="3279" w:type="dxa"/>
                  <w:vMerge w:val="restart"/>
                  <w:tcBorders/>
                  <w:vAlign w:val="center"/>
                </w:tcPr>
                <w:p>
                  <w:pPr>
                    <w:pStyle w:val="Normal"/>
                    <w:widowControl w:val="false"/>
                    <w:spacing w:before="0" w:after="0"/>
                    <w:ind w:right="0" w:hanging="0"/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kern w:val="0"/>
                      <w:sz w:val="24"/>
                      <w:szCs w:val="24"/>
                      <w:lang w:val="ru-RU" w:eastAsia="ru-RU" w:bidi="ar-SA"/>
                    </w:rPr>
                    <w:t>Требование заказчика</w:t>
                  </w:r>
                </w:p>
              </w:tc>
              <w:tc>
                <w:tcPr>
                  <w:tcW w:w="4117" w:type="dxa"/>
                  <w:gridSpan w:val="2"/>
                  <w:tcBorders/>
                  <w:vAlign w:val="center"/>
                </w:tcPr>
                <w:p>
                  <w:pPr>
                    <w:pStyle w:val="Normal"/>
                    <w:widowControl w:val="false"/>
                    <w:spacing w:before="0" w:after="0"/>
                    <w:ind w:right="0" w:hanging="0"/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kern w:val="0"/>
                      <w:sz w:val="24"/>
                      <w:szCs w:val="24"/>
                      <w:lang w:val="ru-RU" w:eastAsia="ru-RU" w:bidi="ar-SA"/>
                    </w:rPr>
                    <w:t>Способ подтверждения участником соответствия требованиям</w:t>
                  </w:r>
                </w:p>
              </w:tc>
              <w:tc>
                <w:tcPr>
                  <w:tcW w:w="2420" w:type="dxa"/>
                  <w:vMerge w:val="restart"/>
                  <w:tcBorders/>
                  <w:vAlign w:val="center"/>
                </w:tcPr>
                <w:p>
                  <w:pPr>
                    <w:pStyle w:val="Normal"/>
                    <w:widowControl w:val="false"/>
                    <w:spacing w:before="0" w:after="0"/>
                    <w:ind w:left="0" w:right="0" w:hanging="0"/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kern w:val="0"/>
                      <w:sz w:val="24"/>
                      <w:szCs w:val="24"/>
                      <w:lang w:val="ru-RU" w:eastAsia="ru-RU" w:bidi="ar-SA"/>
                    </w:rPr>
                    <w:t>Предложение участника по характеристикам и параметрам</w:t>
                  </w:r>
                </w:p>
              </w:tc>
            </w:tr>
            <w:tr>
              <w:trPr>
                <w:trHeight w:val="1240" w:hRule="atLeast"/>
              </w:trPr>
              <w:tc>
                <w:tcPr>
                  <w:tcW w:w="657" w:type="dxa"/>
                  <w:vMerge w:val="continue"/>
                  <w:tcBorders/>
                  <w:vAlign w:val="center"/>
                </w:tcPr>
                <w:p>
                  <w:pPr>
                    <w:pStyle w:val="Normal"/>
                    <w:widowControl w:val="false"/>
                    <w:spacing w:before="0" w:after="0"/>
                    <w:jc w:val="left"/>
                    <w:rPr>
                      <w:kern w:val="0"/>
                      <w:lang w:val="ru-RU" w:eastAsia="ru-RU" w:bidi="ar-SA"/>
                    </w:rPr>
                  </w:pPr>
                  <w:r>
                    <w:rPr>
                      <w:kern w:val="0"/>
                      <w:lang w:val="ru-RU" w:eastAsia="ru-RU" w:bidi="ar-SA"/>
                    </w:rPr>
                  </w:r>
                </w:p>
              </w:tc>
              <w:tc>
                <w:tcPr>
                  <w:tcW w:w="4819" w:type="dxa"/>
                  <w:vMerge w:val="continue"/>
                  <w:tcBorders/>
                  <w:vAlign w:val="center"/>
                </w:tcPr>
                <w:p>
                  <w:pPr>
                    <w:pStyle w:val="Normal"/>
                    <w:widowControl w:val="false"/>
                    <w:spacing w:before="0" w:after="0"/>
                    <w:jc w:val="left"/>
                    <w:rPr>
                      <w:kern w:val="0"/>
                      <w:lang w:val="ru-RU" w:eastAsia="ru-RU" w:bidi="ar-SA"/>
                    </w:rPr>
                  </w:pPr>
                  <w:r>
                    <w:rPr>
                      <w:kern w:val="0"/>
                      <w:lang w:val="ru-RU" w:eastAsia="ru-RU" w:bidi="ar-SA"/>
                    </w:rPr>
                  </w:r>
                </w:p>
              </w:tc>
              <w:tc>
                <w:tcPr>
                  <w:tcW w:w="3279" w:type="dxa"/>
                  <w:vMerge w:val="continue"/>
                  <w:tcBorders/>
                  <w:vAlign w:val="center"/>
                </w:tcPr>
                <w:p>
                  <w:pPr>
                    <w:pStyle w:val="Normal"/>
                    <w:widowControl w:val="false"/>
                    <w:spacing w:before="0" w:after="0"/>
                    <w:jc w:val="left"/>
                    <w:rPr>
                      <w:kern w:val="0"/>
                      <w:lang w:val="ru-RU" w:eastAsia="ru-RU" w:bidi="ar-SA"/>
                    </w:rPr>
                  </w:pPr>
                  <w:r>
                    <w:rPr>
                      <w:kern w:val="0"/>
                      <w:lang w:val="ru-RU" w:eastAsia="ru-RU" w:bidi="ar-SA"/>
                    </w:rPr>
                  </w:r>
                </w:p>
              </w:tc>
              <w:tc>
                <w:tcPr>
                  <w:tcW w:w="1881" w:type="dxa"/>
                  <w:tcBorders/>
                  <w:vAlign w:val="center"/>
                </w:tcPr>
                <w:p>
                  <w:pPr>
                    <w:pStyle w:val="Normal"/>
                    <w:widowControl w:val="false"/>
                    <w:spacing w:before="0" w:after="0"/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kern w:val="0"/>
                      <w:sz w:val="24"/>
                      <w:szCs w:val="24"/>
                      <w:lang w:val="ru-RU" w:eastAsia="ru-RU" w:bidi="ar-SA"/>
                    </w:rPr>
                    <w:t>Согласие с требованием/ указание характеристик</w:t>
                  </w:r>
                </w:p>
              </w:tc>
              <w:tc>
                <w:tcPr>
                  <w:tcW w:w="2236" w:type="dxa"/>
                  <w:tcBorders/>
                  <w:vAlign w:val="center"/>
                </w:tcPr>
                <w:p>
                  <w:pPr>
                    <w:pStyle w:val="Normal"/>
                    <w:widowControl w:val="false"/>
                    <w:spacing w:before="0" w:after="0"/>
                    <w:jc w:val="center"/>
                    <w:rPr>
                      <w:b/>
                      <w:bCs/>
                      <w:sz w:val="24"/>
                      <w:szCs w:val="24"/>
                      <w:highlight w:val="none"/>
                    </w:rPr>
                  </w:pPr>
                  <w:r>
                    <w:rPr>
                      <w:b/>
                      <w:bCs/>
                      <w:kern w:val="0"/>
                      <w:sz w:val="24"/>
                      <w:szCs w:val="24"/>
                      <w:lang w:val="ru-RU" w:eastAsia="ru-RU" w:bidi="ar-SA"/>
                    </w:rPr>
                    <w:t>Предоставление подтверждающего документа или иной способ подтверждения</w:t>
                  </w:r>
                </w:p>
              </w:tc>
              <w:tc>
                <w:tcPr>
                  <w:tcW w:w="2420" w:type="dxa"/>
                  <w:vMerge w:val="continue"/>
                  <w:tcBorders/>
                  <w:vAlign w:val="center"/>
                </w:tcPr>
                <w:p>
                  <w:pPr>
                    <w:pStyle w:val="Normal"/>
                    <w:widowControl w:val="false"/>
                    <w:spacing w:before="0" w:after="0"/>
                    <w:jc w:val="left"/>
                    <w:rPr>
                      <w:kern w:val="0"/>
                      <w:lang w:val="ru-RU" w:eastAsia="ru-RU" w:bidi="ar-SA"/>
                    </w:rPr>
                  </w:pPr>
                  <w:r>
                    <w:rPr>
                      <w:kern w:val="0"/>
                      <w:lang w:val="ru-RU" w:eastAsia="ru-RU" w:bidi="ar-SA"/>
                    </w:rPr>
                  </w:r>
                </w:p>
              </w:tc>
            </w:tr>
            <w:tr>
              <w:trPr>
                <w:trHeight w:val="304" w:hRule="atLeast"/>
              </w:trPr>
              <w:tc>
                <w:tcPr>
                  <w:tcW w:w="657" w:type="dxa"/>
                  <w:tcBorders/>
                  <w:vAlign w:val="center"/>
                </w:tcPr>
                <w:p>
                  <w:pPr>
                    <w:pStyle w:val="Normal"/>
                    <w:widowControl w:val="false"/>
                    <w:spacing w:before="60" w:after="60"/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kern w:val="0"/>
                      <w:sz w:val="24"/>
                      <w:szCs w:val="24"/>
                      <w:lang w:val="ru-RU" w:eastAsia="ru-RU" w:bidi="ar-SA"/>
                    </w:rPr>
                    <w:t>1</w:t>
                  </w:r>
                </w:p>
              </w:tc>
              <w:tc>
                <w:tcPr>
                  <w:tcW w:w="4819" w:type="dxa"/>
                  <w:tcBorders/>
                  <w:vAlign w:val="center"/>
                </w:tcPr>
                <w:p>
                  <w:pPr>
                    <w:pStyle w:val="Normal"/>
                    <w:widowControl w:val="false"/>
                    <w:spacing w:before="0" w:after="0"/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kern w:val="0"/>
                      <w:sz w:val="24"/>
                      <w:szCs w:val="24"/>
                      <w:lang w:val="ru-RU" w:eastAsia="ru-RU" w:bidi="ar-SA"/>
                    </w:rPr>
                    <w:t>2</w:t>
                  </w:r>
                </w:p>
              </w:tc>
              <w:tc>
                <w:tcPr>
                  <w:tcW w:w="3279" w:type="dxa"/>
                  <w:tcBorders/>
                  <w:vAlign w:val="center"/>
                </w:tcPr>
                <w:p>
                  <w:pPr>
                    <w:pStyle w:val="Normal"/>
                    <w:widowControl w:val="false"/>
                    <w:spacing w:before="0" w:after="0"/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kern w:val="0"/>
                      <w:sz w:val="24"/>
                      <w:szCs w:val="24"/>
                      <w:lang w:val="ru-RU" w:eastAsia="ru-RU" w:bidi="ar-SA"/>
                    </w:rPr>
                    <w:t>3</w:t>
                  </w:r>
                </w:p>
              </w:tc>
              <w:tc>
                <w:tcPr>
                  <w:tcW w:w="1881" w:type="dxa"/>
                  <w:tcBorders/>
                  <w:vAlign w:val="center"/>
                </w:tcPr>
                <w:p>
                  <w:pPr>
                    <w:pStyle w:val="Normal"/>
                    <w:widowControl w:val="false"/>
                    <w:spacing w:before="0" w:after="0"/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kern w:val="0"/>
                      <w:sz w:val="24"/>
                      <w:szCs w:val="24"/>
                      <w:lang w:val="ru-RU" w:eastAsia="ru-RU" w:bidi="ar-SA"/>
                    </w:rPr>
                    <w:t>4</w:t>
                  </w:r>
                </w:p>
              </w:tc>
              <w:tc>
                <w:tcPr>
                  <w:tcW w:w="2236" w:type="dxa"/>
                  <w:tcBorders/>
                  <w:vAlign w:val="center"/>
                </w:tcPr>
                <w:p>
                  <w:pPr>
                    <w:pStyle w:val="Normal"/>
                    <w:widowControl w:val="false"/>
                    <w:spacing w:before="0" w:after="0"/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kern w:val="0"/>
                      <w:sz w:val="24"/>
                      <w:szCs w:val="24"/>
                      <w:lang w:val="ru-RU" w:eastAsia="ru-RU" w:bidi="ar-SA"/>
                    </w:rPr>
                    <w:t>5</w:t>
                  </w:r>
                </w:p>
              </w:tc>
              <w:tc>
                <w:tcPr>
                  <w:tcW w:w="2420" w:type="dxa"/>
                  <w:tcBorders/>
                  <w:vAlign w:val="center"/>
                </w:tcPr>
                <w:p>
                  <w:pPr>
                    <w:pStyle w:val="Normal"/>
                    <w:widowControl w:val="false"/>
                    <w:spacing w:before="0" w:after="0"/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kern w:val="0"/>
                      <w:sz w:val="24"/>
                      <w:szCs w:val="24"/>
                      <w:lang w:val="ru-RU" w:eastAsia="ru-RU" w:bidi="ar-SA"/>
                    </w:rPr>
                    <w:t>6</w:t>
                  </w:r>
                </w:p>
              </w:tc>
            </w:tr>
            <w:tr>
              <w:trPr>
                <w:trHeight w:val="480" w:hRule="atLeast"/>
              </w:trPr>
              <w:tc>
                <w:tcPr>
                  <w:tcW w:w="657" w:type="dxa"/>
                  <w:tcBorders/>
                  <w:vAlign w:val="center"/>
                </w:tcPr>
                <w:p>
                  <w:pPr>
                    <w:pStyle w:val="ListParagraph"/>
                    <w:widowControl w:val="false"/>
                    <w:numPr>
                      <w:ilvl w:val="0"/>
                      <w:numId w:val="6"/>
                    </w:numPr>
                    <w:spacing w:before="60" w:after="60"/>
                    <w:contextualSpacing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</w:p>
              </w:tc>
              <w:tc>
                <w:tcPr>
                  <w:tcW w:w="8098" w:type="dxa"/>
                  <w:gridSpan w:val="2"/>
                  <w:tcBorders/>
                  <w:vAlign w:val="center"/>
                </w:tcPr>
                <w:p>
                  <w:pPr>
                    <w:pStyle w:val="Normal"/>
                    <w:widowControl w:val="false"/>
                    <w:spacing w:before="60" w:after="60"/>
                    <w:jc w:val="left"/>
                    <w:rPr>
                      <w:b/>
                      <w:bCs/>
                      <w:sz w:val="24"/>
                      <w:szCs w:val="24"/>
                      <w:highlight w:val="none"/>
                    </w:rPr>
                  </w:pPr>
                  <w:r>
                    <w:rPr>
                      <w:b/>
                      <w:kern w:val="0"/>
                      <w:sz w:val="24"/>
                      <w:szCs w:val="24"/>
                      <w:lang w:val="ru-RU" w:eastAsia="ru-RU" w:bidi="ar-SA"/>
                    </w:rPr>
                    <w:t>Требования к безопасности</w:t>
                  </w:r>
                </w:p>
              </w:tc>
              <w:tc>
                <w:tcPr>
                  <w:tcW w:w="1881" w:type="dxa"/>
                  <w:tcBorders/>
                </w:tcPr>
                <w:p>
                  <w:pPr>
                    <w:pStyle w:val="Normal"/>
                    <w:widowControl w:val="false"/>
                    <w:spacing w:before="60" w:after="6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</w:p>
              </w:tc>
              <w:tc>
                <w:tcPr>
                  <w:tcW w:w="2236" w:type="dxa"/>
                  <w:tcBorders/>
                  <w:vAlign w:val="center"/>
                </w:tcPr>
                <w:p>
                  <w:pPr>
                    <w:pStyle w:val="Normal"/>
                    <w:widowControl w:val="false"/>
                    <w:spacing w:before="0" w:after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</w:p>
              </w:tc>
              <w:tc>
                <w:tcPr>
                  <w:tcW w:w="2420" w:type="dxa"/>
                  <w:tcBorders/>
                </w:tcPr>
                <w:p>
                  <w:pPr>
                    <w:pStyle w:val="Normal"/>
                    <w:widowControl w:val="false"/>
                    <w:spacing w:before="0" w:after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</w:p>
              </w:tc>
            </w:tr>
            <w:tr>
              <w:trPr>
                <w:trHeight w:val="1976" w:hRule="atLeast"/>
              </w:trPr>
              <w:tc>
                <w:tcPr>
                  <w:tcW w:w="657" w:type="dxa"/>
                  <w:tcBorders/>
                  <w:vAlign w:val="center"/>
                </w:tcPr>
                <w:p>
                  <w:pPr>
                    <w:pStyle w:val="ListParagraph"/>
                    <w:widowControl w:val="false"/>
                    <w:spacing w:before="60" w:after="60"/>
                    <w:ind w:left="0" w:right="0" w:hanging="0"/>
                    <w:contextualSpacing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kern w:val="0"/>
                      <w:sz w:val="24"/>
                      <w:szCs w:val="24"/>
                      <w:lang w:val="ru-RU" w:eastAsia="ru-RU" w:bidi="ar-SA"/>
                    </w:rPr>
                    <w:t>1.1</w:t>
                  </w:r>
                </w:p>
              </w:tc>
              <w:tc>
                <w:tcPr>
                  <w:tcW w:w="4819" w:type="dxa"/>
                  <w:tcBorders/>
                  <w:vAlign w:val="center"/>
                </w:tcPr>
                <w:p>
                  <w:pPr>
                    <w:pStyle w:val="Normal"/>
                    <w:widowControl w:val="false"/>
                    <w:spacing w:before="60" w:after="60"/>
                    <w:jc w:val="left"/>
                    <w:rPr>
                      <w:sz w:val="24"/>
                      <w:szCs w:val="24"/>
                    </w:rPr>
                  </w:pPr>
                  <w:r>
                    <w:rPr>
                      <w:kern w:val="0"/>
                      <w:sz w:val="24"/>
                      <w:szCs w:val="24"/>
                      <w:lang w:val="ru-RU" w:eastAsia="ru-RU" w:bidi="ar-SA"/>
                    </w:rPr>
                    <w:t>Требования безопасности, характеризующие конструктивно-технические особенности оборудования, обеспечивающие безопасность персонала, местного населения, сопрягаемых и других близко расположенных объектов, а также окружающей среды при эксплуатации и утилизации оборудования</w:t>
                  </w:r>
                </w:p>
              </w:tc>
              <w:tc>
                <w:tcPr>
                  <w:tcW w:w="3279" w:type="dxa"/>
                  <w:tcBorders/>
                  <w:vAlign w:val="center"/>
                </w:tcPr>
                <w:p>
                  <w:pPr>
                    <w:pStyle w:val="Normal"/>
                    <w:widowControl w:val="false"/>
                    <w:spacing w:before="60" w:after="60"/>
                    <w:jc w:val="left"/>
                    <w:rPr>
                      <w:sz w:val="24"/>
                      <w:szCs w:val="24"/>
                    </w:rPr>
                  </w:pPr>
                  <w:r>
                    <w:rPr>
                      <w:kern w:val="0"/>
                      <w:sz w:val="24"/>
                      <w:szCs w:val="24"/>
                      <w:lang w:val="ru-RU" w:eastAsia="ru-RU" w:bidi="ar-SA"/>
                    </w:rPr>
                    <w:t>Все поставляемое оборудование должно отвечать требованием Технического регламента таможенного союза ТР ТС 004/2011 “О безопасности низковольтного оборудования” от 16.08.2011</w:t>
                  </w:r>
                </w:p>
              </w:tc>
              <w:tc>
                <w:tcPr>
                  <w:tcW w:w="1881" w:type="dxa"/>
                  <w:tcBorders/>
                  <w:vAlign w:val="center"/>
                </w:tcPr>
                <w:p>
                  <w:pPr>
                    <w:pStyle w:val="Normal"/>
                    <w:widowControl w:val="false"/>
                    <w:spacing w:before="0" w:after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i/>
                      <w:iCs/>
                      <w:kern w:val="0"/>
                      <w:sz w:val="24"/>
                      <w:szCs w:val="24"/>
                      <w:lang w:val="ru-RU" w:eastAsia="ru-RU" w:bidi="ar-SA"/>
                    </w:rPr>
                    <w:t>Согласие с требованием</w:t>
                  </w:r>
                </w:p>
              </w:tc>
              <w:tc>
                <w:tcPr>
                  <w:tcW w:w="2236" w:type="dxa"/>
                  <w:tcBorders/>
                  <w:vAlign w:val="center"/>
                </w:tcPr>
                <w:p>
                  <w:pPr>
                    <w:pStyle w:val="Normal"/>
                    <w:widowControl w:val="false"/>
                    <w:spacing w:before="0" w:after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kern w:val="0"/>
                      <w:sz w:val="24"/>
                      <w:szCs w:val="24"/>
                      <w:lang w:val="en-US" w:eastAsia="ru-RU" w:bidi="ar-SA"/>
                    </w:rPr>
                    <w:t>“</w:t>
                  </w:r>
                  <w:r>
                    <w:rPr>
                      <w:kern w:val="0"/>
                      <w:sz w:val="24"/>
                      <w:szCs w:val="24"/>
                      <w:lang w:val="en-US" w:eastAsia="ru-RU" w:bidi="ar-SA"/>
                    </w:rPr>
                    <w:t>-”</w:t>
                  </w:r>
                </w:p>
              </w:tc>
              <w:tc>
                <w:tcPr>
                  <w:tcW w:w="2420" w:type="dxa"/>
                  <w:tcBorders/>
                </w:tcPr>
                <w:p>
                  <w:pPr>
                    <w:pStyle w:val="Normal"/>
                    <w:widowControl w:val="false"/>
                    <w:spacing w:before="0" w:after="0"/>
                    <w:jc w:val="center"/>
                    <w:rPr>
                      <w:color w:val="FF0000"/>
                      <w:sz w:val="24"/>
                      <w:szCs w:val="24"/>
                    </w:rPr>
                  </w:pPr>
                  <w:r>
                    <w:rPr>
                      <w:color w:val="FF0000"/>
                      <w:sz w:val="24"/>
                      <w:szCs w:val="24"/>
                    </w:rPr>
                  </w:r>
                </w:p>
              </w:tc>
            </w:tr>
            <w:tr>
              <w:trPr>
                <w:trHeight w:val="441" w:hRule="atLeast"/>
              </w:trPr>
              <w:tc>
                <w:tcPr>
                  <w:tcW w:w="657" w:type="dxa"/>
                  <w:tcBorders/>
                  <w:vAlign w:val="center"/>
                </w:tcPr>
                <w:p>
                  <w:pPr>
                    <w:pStyle w:val="Normal"/>
                    <w:widowControl w:val="false"/>
                    <w:spacing w:before="60" w:after="60"/>
                    <w:ind w:left="0" w:right="0" w:hanging="0"/>
                    <w:jc w:val="center"/>
                    <w:rPr>
                      <w:sz w:val="24"/>
                      <w:szCs w:val="24"/>
                      <w:highlight w:val="none"/>
                    </w:rPr>
                  </w:pPr>
                  <w:r>
                    <w:rPr>
                      <w:kern w:val="0"/>
                      <w:sz w:val="24"/>
                      <w:szCs w:val="24"/>
                      <w:lang w:val="ru-RU" w:eastAsia="ru-RU" w:bidi="ar-SA"/>
                    </w:rPr>
                    <w:t>2.</w:t>
                  </w:r>
                </w:p>
              </w:tc>
              <w:tc>
                <w:tcPr>
                  <w:tcW w:w="8098" w:type="dxa"/>
                  <w:gridSpan w:val="2"/>
                  <w:tcBorders/>
                  <w:vAlign w:val="center"/>
                </w:tcPr>
                <w:p>
                  <w:pPr>
                    <w:pStyle w:val="Normal"/>
                    <w:widowControl w:val="false"/>
                    <w:spacing w:before="60" w:after="60"/>
                    <w:jc w:val="left"/>
                    <w:rPr>
                      <w:b/>
                      <w:bCs/>
                      <w:sz w:val="24"/>
                      <w:szCs w:val="24"/>
                      <w:highlight w:val="none"/>
                    </w:rPr>
                  </w:pPr>
                  <w:r>
                    <w:rPr>
                      <w:b/>
                      <w:kern w:val="0"/>
                      <w:sz w:val="24"/>
                      <w:szCs w:val="24"/>
                      <w:lang w:val="ru-RU" w:eastAsia="ru-RU" w:bidi="ar-SA"/>
                    </w:rPr>
                    <w:t>Прочие (дополнительные) требования к продукции:</w:t>
                  </w:r>
                </w:p>
              </w:tc>
              <w:tc>
                <w:tcPr>
                  <w:tcW w:w="1881" w:type="dxa"/>
                  <w:tcBorders/>
                </w:tcPr>
                <w:p>
                  <w:pPr>
                    <w:pStyle w:val="Normal"/>
                    <w:widowControl w:val="false"/>
                    <w:spacing w:before="60" w:after="6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</w:p>
              </w:tc>
              <w:tc>
                <w:tcPr>
                  <w:tcW w:w="2236" w:type="dxa"/>
                  <w:tcBorders/>
                  <w:vAlign w:val="center"/>
                </w:tcPr>
                <w:p>
                  <w:pPr>
                    <w:pStyle w:val="Normal"/>
                    <w:widowControl w:val="false"/>
                    <w:spacing w:before="0" w:after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</w:p>
              </w:tc>
              <w:tc>
                <w:tcPr>
                  <w:tcW w:w="2420" w:type="dxa"/>
                  <w:tcBorders/>
                </w:tcPr>
                <w:p>
                  <w:pPr>
                    <w:pStyle w:val="Normal"/>
                    <w:widowControl w:val="false"/>
                    <w:spacing w:before="0" w:after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</w:p>
              </w:tc>
            </w:tr>
            <w:tr>
              <w:trPr>
                <w:trHeight w:val="310" w:hRule="atLeast"/>
              </w:trPr>
              <w:tc>
                <w:tcPr>
                  <w:tcW w:w="657" w:type="dxa"/>
                  <w:tcBorders/>
                  <w:vAlign w:val="center"/>
                </w:tcPr>
                <w:p>
                  <w:pPr>
                    <w:pStyle w:val="Normal"/>
                    <w:widowControl w:val="false"/>
                    <w:spacing w:before="60" w:after="60"/>
                    <w:ind w:left="0" w:right="0" w:hanging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kern w:val="0"/>
                      <w:sz w:val="24"/>
                      <w:szCs w:val="24"/>
                      <w:lang w:val="ru-RU" w:eastAsia="ru-RU" w:bidi="ar-SA"/>
                    </w:rPr>
                    <w:t>2.1.</w:t>
                  </w:r>
                </w:p>
              </w:tc>
              <w:tc>
                <w:tcPr>
                  <w:tcW w:w="4819" w:type="dxa"/>
                  <w:tcBorders/>
                  <w:vAlign w:val="center"/>
                </w:tcPr>
                <w:p>
                  <w:pPr>
                    <w:pStyle w:val="Normal"/>
                    <w:widowControl w:val="false"/>
                    <w:spacing w:before="0" w:after="0"/>
                    <w:jc w:val="left"/>
                    <w:rPr>
                      <w:sz w:val="24"/>
                      <w:szCs w:val="24"/>
                    </w:rPr>
                  </w:pPr>
                  <w:r>
                    <w:rPr>
                      <w:kern w:val="0"/>
                      <w:sz w:val="24"/>
                      <w:szCs w:val="24"/>
                      <w:lang w:val="ru-RU" w:eastAsia="ru-RU" w:bidi="ar-SA"/>
                    </w:rPr>
                    <w:t>Требования к порядку поставки</w:t>
                  </w:r>
                </w:p>
              </w:tc>
              <w:tc>
                <w:tcPr>
                  <w:tcW w:w="3279" w:type="dxa"/>
                  <w:tcBorders/>
                  <w:vAlign w:val="center"/>
                </w:tcPr>
                <w:p>
                  <w:pPr>
                    <w:pStyle w:val="Normal"/>
                    <w:widowControl w:val="false"/>
                    <w:spacing w:lineRule="auto" w:line="276" w:before="0" w:after="0"/>
                    <w:contextualSpacing/>
                    <w:jc w:val="left"/>
                    <w:rPr>
                      <w:sz w:val="24"/>
                      <w:szCs w:val="24"/>
                    </w:rPr>
                  </w:pPr>
                  <w:r>
                    <w:rPr>
                      <w:kern w:val="0"/>
                      <w:sz w:val="24"/>
                      <w:szCs w:val="24"/>
                      <w:lang w:val="ru-RU" w:eastAsia="ru-RU" w:bidi="ar-SA"/>
                    </w:rPr>
                    <w:t xml:space="preserve">Все поставляемое оборудование должно быть новым, не бывшим в употреблении, соответствовать требованиям технического задания и выпускаться серийно. </w:t>
                  </w:r>
                </w:p>
              </w:tc>
              <w:tc>
                <w:tcPr>
                  <w:tcW w:w="1881" w:type="dxa"/>
                  <w:tcBorders/>
                  <w:vAlign w:val="center"/>
                </w:tcPr>
                <w:p>
                  <w:pPr>
                    <w:pStyle w:val="Normal"/>
                    <w:widowControl w:val="false"/>
                    <w:spacing w:before="0" w:after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i/>
                      <w:iCs/>
                      <w:kern w:val="0"/>
                      <w:sz w:val="24"/>
                      <w:szCs w:val="24"/>
                      <w:lang w:val="ru-RU" w:eastAsia="ru-RU" w:bidi="ar-SA"/>
                    </w:rPr>
                    <w:t>Согласие с требованием</w:t>
                  </w:r>
                </w:p>
              </w:tc>
              <w:tc>
                <w:tcPr>
                  <w:tcW w:w="2236" w:type="dxa"/>
                  <w:tcBorders/>
                  <w:vAlign w:val="center"/>
                </w:tcPr>
                <w:p>
                  <w:pPr>
                    <w:pStyle w:val="Normal"/>
                    <w:widowControl w:val="false"/>
                    <w:spacing w:before="0" w:after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kern w:val="0"/>
                      <w:sz w:val="24"/>
                      <w:szCs w:val="24"/>
                      <w:lang w:val="en-US" w:eastAsia="ru-RU" w:bidi="ar-SA"/>
                    </w:rPr>
                    <w:t>“</w:t>
                  </w:r>
                  <w:r>
                    <w:rPr>
                      <w:kern w:val="0"/>
                      <w:sz w:val="24"/>
                      <w:szCs w:val="24"/>
                      <w:lang w:val="en-US" w:eastAsia="ru-RU" w:bidi="ar-SA"/>
                    </w:rPr>
                    <w:t>-”</w:t>
                  </w:r>
                </w:p>
              </w:tc>
              <w:tc>
                <w:tcPr>
                  <w:tcW w:w="2420" w:type="dxa"/>
                  <w:tcBorders/>
                </w:tcPr>
                <w:p>
                  <w:pPr>
                    <w:pStyle w:val="Normal"/>
                    <w:widowControl w:val="false"/>
                    <w:spacing w:before="0" w:after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</w:p>
              </w:tc>
            </w:tr>
            <w:tr>
              <w:trPr>
                <w:trHeight w:val="816" w:hRule="atLeast"/>
              </w:trPr>
              <w:tc>
                <w:tcPr>
                  <w:tcW w:w="657" w:type="dxa"/>
                  <w:tcBorders/>
                  <w:vAlign w:val="center"/>
                </w:tcPr>
                <w:p>
                  <w:pPr>
                    <w:pStyle w:val="Normal"/>
                    <w:widowControl w:val="false"/>
                    <w:spacing w:before="60" w:after="60"/>
                    <w:ind w:left="0" w:right="0" w:hanging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kern w:val="0"/>
                      <w:sz w:val="24"/>
                      <w:szCs w:val="24"/>
                      <w:lang w:val="ru-RU" w:eastAsia="ru-RU" w:bidi="ar-SA"/>
                    </w:rPr>
                    <w:t>2.2.</w:t>
                  </w:r>
                </w:p>
              </w:tc>
              <w:tc>
                <w:tcPr>
                  <w:tcW w:w="4819" w:type="dxa"/>
                  <w:tcBorders/>
                  <w:vAlign w:val="center"/>
                </w:tcPr>
                <w:p>
                  <w:pPr>
                    <w:pStyle w:val="Normal"/>
                    <w:widowControl w:val="false"/>
                    <w:spacing w:before="0" w:after="0"/>
                    <w:jc w:val="left"/>
                    <w:rPr>
                      <w:sz w:val="24"/>
                      <w:szCs w:val="24"/>
                    </w:rPr>
                  </w:pPr>
                  <w:r>
                    <w:rPr>
                      <w:kern w:val="0"/>
                      <w:sz w:val="24"/>
                      <w:szCs w:val="24"/>
                      <w:lang w:val="ru-RU" w:eastAsia="ru-RU" w:bidi="ar-SA"/>
                    </w:rPr>
                    <w:t>Требования к году изготовления оборудования</w:t>
                  </w:r>
                </w:p>
              </w:tc>
              <w:tc>
                <w:tcPr>
                  <w:tcW w:w="3279" w:type="dxa"/>
                  <w:tcBorders/>
                  <w:vAlign w:val="center"/>
                </w:tcPr>
                <w:p>
                  <w:pPr>
                    <w:pStyle w:val="Normal"/>
                    <w:widowControl w:val="false"/>
                    <w:spacing w:before="0" w:after="0"/>
                    <w:jc w:val="both"/>
                    <w:rPr>
                      <w:sz w:val="24"/>
                      <w:szCs w:val="24"/>
                    </w:rPr>
                  </w:pPr>
                  <w:r>
                    <w:rPr>
                      <w:kern w:val="0"/>
                      <w:sz w:val="24"/>
                      <w:szCs w:val="24"/>
                      <w:lang w:val="ru-RU" w:eastAsia="ru-RU" w:bidi="ar-SA"/>
                    </w:rPr>
                    <w:t>Год изготовления – не ранее 2025 г.</w:t>
                  </w:r>
                </w:p>
              </w:tc>
              <w:tc>
                <w:tcPr>
                  <w:tcW w:w="1881" w:type="dxa"/>
                  <w:tcBorders/>
                  <w:vAlign w:val="center"/>
                </w:tcPr>
                <w:p>
                  <w:pPr>
                    <w:pStyle w:val="Normal"/>
                    <w:widowControl w:val="false"/>
                    <w:spacing w:before="0" w:after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i/>
                      <w:iCs/>
                      <w:kern w:val="0"/>
                      <w:sz w:val="24"/>
                      <w:szCs w:val="24"/>
                      <w:lang w:val="ru-RU" w:eastAsia="ru-RU" w:bidi="ar-SA"/>
                    </w:rPr>
                    <w:t>Согласие с требованием</w:t>
                  </w:r>
                </w:p>
              </w:tc>
              <w:tc>
                <w:tcPr>
                  <w:tcW w:w="2236" w:type="dxa"/>
                  <w:tcBorders/>
                  <w:vAlign w:val="center"/>
                </w:tcPr>
                <w:p>
                  <w:pPr>
                    <w:pStyle w:val="Normal"/>
                    <w:widowControl w:val="false"/>
                    <w:spacing w:before="0" w:after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kern w:val="0"/>
                      <w:sz w:val="24"/>
                      <w:szCs w:val="24"/>
                      <w:lang w:val="en-US" w:eastAsia="ru-RU" w:bidi="ar-SA"/>
                    </w:rPr>
                    <w:t>“</w:t>
                  </w:r>
                  <w:r>
                    <w:rPr>
                      <w:kern w:val="0"/>
                      <w:sz w:val="24"/>
                      <w:szCs w:val="24"/>
                      <w:lang w:val="en-US" w:eastAsia="ru-RU" w:bidi="ar-SA"/>
                    </w:rPr>
                    <w:t>-”</w:t>
                  </w:r>
                </w:p>
              </w:tc>
              <w:tc>
                <w:tcPr>
                  <w:tcW w:w="2420" w:type="dxa"/>
                  <w:tcBorders/>
                </w:tcPr>
                <w:p>
                  <w:pPr>
                    <w:pStyle w:val="Normal"/>
                    <w:widowControl w:val="false"/>
                    <w:spacing w:before="0" w:after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</w:p>
              </w:tc>
            </w:tr>
            <w:tr>
              <w:trPr>
                <w:trHeight w:val="5659" w:hRule="atLeast"/>
              </w:trPr>
              <w:tc>
                <w:tcPr>
                  <w:tcW w:w="657" w:type="dxa"/>
                  <w:tcBorders/>
                  <w:vAlign w:val="center"/>
                </w:tcPr>
                <w:p>
                  <w:pPr>
                    <w:pStyle w:val="Normal"/>
                    <w:widowControl w:val="false"/>
                    <w:spacing w:before="60" w:after="60"/>
                    <w:ind w:left="0" w:right="0" w:hanging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kern w:val="0"/>
                      <w:sz w:val="24"/>
                      <w:szCs w:val="24"/>
                      <w:lang w:val="ru-RU" w:eastAsia="ru-RU" w:bidi="ar-SA"/>
                    </w:rPr>
                    <w:t>2.3.</w:t>
                  </w:r>
                </w:p>
              </w:tc>
              <w:tc>
                <w:tcPr>
                  <w:tcW w:w="4819" w:type="dxa"/>
                  <w:tcBorders/>
                  <w:vAlign w:val="center"/>
                </w:tcPr>
                <w:p>
                  <w:pPr>
                    <w:pStyle w:val="Normal"/>
                    <w:widowControl w:val="false"/>
                    <w:jc w:val="both"/>
                    <w:rPr>
                      <w:rFonts w:ascii="Times New Roman" w:hAnsi="Times New Roman" w:cs="Times New Roman"/>
                      <w:b w:val="false"/>
                      <w:bCs w:val="false"/>
                      <w:sz w:val="20"/>
                      <w:szCs w:val="20"/>
                      <w:highlight w:val="none"/>
                    </w:rPr>
                  </w:pPr>
                  <w:r>
                    <w:rPr>
                      <w:rFonts w:eastAsia="Times New Roman" w:cs="Times New Roman"/>
                      <w:iCs/>
                      <w:color w:val="auto"/>
                      <w:sz w:val="24"/>
                      <w:szCs w:val="24"/>
                    </w:rPr>
                    <w:t xml:space="preserve">По позициям Приложения №1 к настоящим Техническим требованиям </w:t>
                  </w:r>
                  <w:r>
                    <w:rPr>
                      <w:rFonts w:eastAsia="Times New Roman" w:cs="Times New Roman"/>
                      <w:b/>
                      <w:bCs/>
                      <w:iCs/>
                      <w:color w:val="auto"/>
                      <w:sz w:val="24"/>
                      <w:szCs w:val="24"/>
                    </w:rPr>
                    <w:t>у</w:t>
                  </w:r>
                  <w:r>
                    <w:rPr>
                      <w:rFonts w:eastAsia="Times New Roman" w:cs="Times New Roman"/>
                      <w:b/>
                      <w:bCs/>
                      <w:sz w:val="24"/>
                      <w:szCs w:val="24"/>
                    </w:rPr>
                    <w:t xml:space="preserve">становлен </w:t>
                  </w:r>
                  <w:r>
                    <w:rPr>
                      <w:rFonts w:eastAsia="Times New Roman" w:cs="Times New Roman"/>
                      <w:b/>
                      <w:bCs/>
                      <w:i w:val="false"/>
                      <w:iCs w:val="false"/>
                      <w:sz w:val="24"/>
                      <w:szCs w:val="24"/>
                      <w:lang w:eastAsia="ru-RU"/>
                    </w:rPr>
                    <w:t>режим ограничения закупки иностранной продукции (когда национальный режим не предоставляется)</w:t>
                  </w:r>
                </w:p>
                <w:p>
                  <w:pPr>
                    <w:pStyle w:val="Main14"/>
                    <w:widowControl w:val="false"/>
                    <w:spacing w:lineRule="auto" w:line="240" w:beforeAutospacing="0" w:before="0" w:afterAutospacing="0" w:after="0"/>
                    <w:ind w:left="0" w:right="0" w:hanging="0"/>
                    <w:jc w:val="left"/>
                    <w:rPr>
                      <w:rFonts w:ascii="Times New Roman" w:hAnsi="Times New Roman" w:cs="Times New Roman"/>
                      <w:color w:val="auto"/>
                      <w:sz w:val="20"/>
                      <w:szCs w:val="20"/>
                    </w:rPr>
                  </w:pPr>
                  <w:r>
                    <w:rPr>
                      <w:rFonts w:cs="Times New Roman"/>
                      <w:color w:val="auto"/>
                      <w:sz w:val="20"/>
                      <w:szCs w:val="20"/>
                    </w:rPr>
                  </w:r>
                </w:p>
                <w:p>
                  <w:pPr>
                    <w:pStyle w:val="Main14"/>
                    <w:widowControl w:val="false"/>
                    <w:spacing w:lineRule="auto" w:line="240" w:beforeAutospacing="0" w:before="0" w:afterAutospacing="0" w:after="0"/>
                    <w:ind w:left="0" w:right="0" w:hanging="0"/>
                    <w:jc w:val="left"/>
                    <w:rPr>
                      <w:rFonts w:eastAsia="Times New Roman" w:cs="Times New Roman"/>
                      <w:color w:val="auto"/>
                      <w:sz w:val="24"/>
                      <w:szCs w:val="24"/>
                      <w:highlight w:val="none"/>
                      <w:lang w:eastAsia="ru-RU"/>
                    </w:rPr>
                  </w:pPr>
                  <w:r>
                    <w:rPr>
                      <w:rFonts w:eastAsia="Times New Roman" w:cs="Times New Roman"/>
                      <w:color w:val="auto"/>
                      <w:sz w:val="24"/>
                      <w:szCs w:val="24"/>
                      <w:lang w:eastAsia="ru-RU"/>
                    </w:rPr>
                    <w:t>При осуществлении закупки товара,</w:t>
                  </w:r>
                  <w:r>
                    <w:rPr>
                      <w:rFonts w:eastAsia="Times New Roman" w:cs="Times New Roman"/>
                      <w:color w:val="auto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eastAsia="Times New Roman" w:cs="Times New Roman"/>
                      <w:color w:val="auto"/>
                      <w:sz w:val="24"/>
                      <w:szCs w:val="24"/>
                      <w:lang w:eastAsia="ru-RU"/>
                    </w:rPr>
                    <w:t xml:space="preserve">если Правительством РФ установлено </w:t>
                  </w:r>
                  <w:hyperlink r:id="rId2" w:tgtFrame="https://login.consultant.ru/link/?req=doc&amp;base=LAW&amp;n=494318&amp;dst=100007">
                    <w:r>
                      <w:rPr>
                        <w:rFonts w:eastAsia="Times New Roman" w:cs="Times New Roman"/>
                        <w:color w:val="auto"/>
                        <w:sz w:val="24"/>
                        <w:szCs w:val="24"/>
                        <w:lang w:eastAsia="ru-RU"/>
                      </w:rPr>
                      <w:t>ограничение</w:t>
                    </w:r>
                  </w:hyperlink>
                  <w:r>
                    <w:rPr>
                      <w:rFonts w:eastAsia="Times New Roman" w:cs="Times New Roman"/>
                      <w:color w:val="auto"/>
                      <w:sz w:val="24"/>
                      <w:szCs w:val="24"/>
                      <w:lang w:eastAsia="ru-RU"/>
                    </w:rPr>
                    <w:t xml:space="preserve"> закупок товаров, происходящих из иностранных государств (по перечню </w:t>
                  </w:r>
                  <w:r>
                    <w:rPr>
                      <w:rFonts w:eastAsia="Times New Roman" w:cs="Times New Roman"/>
                      <w:i w:val="false"/>
                      <w:iCs w:val="false"/>
                      <w:caps w:val="false"/>
                      <w:smallCaps w:val="false"/>
                      <w:color w:val="000000"/>
                      <w:spacing w:val="0"/>
                      <w:sz w:val="24"/>
                      <w:szCs w:val="24"/>
                      <w:shd w:fill="FFFFFF" w:val="clear"/>
                    </w:rPr>
                    <w:t>согласно приложению N 2</w:t>
                  </w:r>
                  <w:r>
                    <w:rPr>
                      <w:rFonts w:eastAsia="Times New Roman" w:cs="Times New Roman"/>
                      <w:i w:val="false"/>
                      <w:iCs w:val="false"/>
                      <w:caps w:val="false"/>
                      <w:smallCaps w:val="false"/>
                      <w:color w:val="000000"/>
                      <w:spacing w:val="0"/>
                      <w:sz w:val="24"/>
                      <w:szCs w:val="24"/>
                      <w:shd w:fill="FFFFFF" w:val="clear"/>
                      <w:lang w:val="ru-RU"/>
                    </w:rPr>
                    <w:t xml:space="preserve"> ПП РФ № 1875)</w:t>
                  </w:r>
                  <w:r>
                    <w:rPr>
                      <w:rFonts w:eastAsia="Times New Roman" w:cs="Times New Roman"/>
                      <w:color w:val="auto"/>
                      <w:sz w:val="24"/>
                      <w:szCs w:val="24"/>
                      <w:lang w:eastAsia="ru-RU"/>
                    </w:rPr>
                    <w:t>,</w:t>
                  </w:r>
                </w:p>
                <w:p>
                  <w:pPr>
                    <w:pStyle w:val="Main14"/>
                    <w:widowControl w:val="false"/>
                    <w:spacing w:lineRule="auto" w:line="240" w:beforeAutospacing="0" w:before="0" w:afterAutospacing="0" w:after="0"/>
                    <w:ind w:left="0" w:right="0" w:hanging="0"/>
                    <w:jc w:val="left"/>
                    <w:rPr>
                      <w:rFonts w:ascii="Times New Roman" w:hAnsi="Times New Roman" w:cs="Times New Roman"/>
                      <w:color w:val="auto"/>
                      <w:sz w:val="20"/>
                      <w:szCs w:val="20"/>
                    </w:rPr>
                  </w:pPr>
                  <w:r>
                    <w:rPr>
                      <w:rFonts w:eastAsia="Times New Roman" w:cs="Times New Roman"/>
                      <w:color w:val="auto"/>
                      <w:sz w:val="24"/>
                      <w:szCs w:val="24"/>
                      <w:lang w:eastAsia="ru-RU"/>
                    </w:rPr>
                    <w:t xml:space="preserve"> </w:t>
                  </w:r>
                  <w:r>
                    <w:rPr>
                      <w:rFonts w:eastAsia="Times New Roman" w:cs="Times New Roman"/>
                      <w:color w:val="auto"/>
                      <w:sz w:val="24"/>
                      <w:szCs w:val="24"/>
                      <w:lang w:eastAsia="ru-RU"/>
                    </w:rPr>
                    <w:t>не допускаются:</w:t>
                  </w:r>
                </w:p>
                <w:p>
                  <w:pPr>
                    <w:pStyle w:val="Main14"/>
                    <w:widowControl w:val="false"/>
                    <w:spacing w:lineRule="auto" w:line="240" w:beforeAutospacing="0" w:before="0" w:afterAutospacing="0" w:after="0"/>
                    <w:ind w:left="0" w:right="0" w:hanging="0"/>
                    <w:jc w:val="left"/>
                    <w:rPr>
                      <w:rFonts w:ascii="Times New Roman" w:hAnsi="Times New Roman" w:cs="Times New Roman"/>
                      <w:color w:val="auto"/>
                      <w:sz w:val="20"/>
                      <w:szCs w:val="20"/>
                    </w:rPr>
                  </w:pPr>
                  <w:r>
                    <w:rPr>
                      <w:rFonts w:eastAsia="Times New Roman" w:cs="Times New Roman"/>
                      <w:color w:val="auto"/>
                      <w:sz w:val="24"/>
                      <w:szCs w:val="24"/>
                      <w:lang w:eastAsia="ru-RU"/>
                    </w:rPr>
                    <w:t>а) заключение договора на поставку товара, происходящего из иностранного государства, если поданы заявка на участие в закупке, окончательное предложение, признанные по результатам их рассмотрения соответствующими требованиям положения о закупке, извещения об осуществлении конкурентной закупки (в случае проведения конкурентной закупки), документации о конкурентной закупке (в случае проведения конкурентной закупки) и содержащие предложения о поставке товара российского происхождения,</w:t>
                  </w:r>
                </w:p>
                <w:p>
                  <w:pPr>
                    <w:pStyle w:val="Main14"/>
                    <w:widowControl w:val="false"/>
                    <w:spacing w:lineRule="auto" w:line="240" w:beforeAutospacing="0" w:before="0" w:afterAutospacing="0" w:after="0"/>
                    <w:ind w:left="0" w:right="0" w:hanging="0"/>
                    <w:jc w:val="left"/>
                    <w:rPr>
                      <w:rFonts w:ascii="Times New Roman" w:hAnsi="Times New Roman" w:cs="Times New Roman"/>
                      <w:color w:val="auto"/>
                      <w:sz w:val="20"/>
                      <w:szCs w:val="20"/>
                      <w:u w:val="none"/>
                    </w:rPr>
                  </w:pPr>
                  <w:r>
                    <w:rPr>
                      <w:rFonts w:eastAsia="Times New Roman" w:cs="Times New Roman"/>
                      <w:color w:val="auto"/>
                      <w:sz w:val="24"/>
                      <w:szCs w:val="24"/>
                      <w:lang w:eastAsia="ru-RU"/>
                    </w:rPr>
                    <w:t>б) при исполнении договора замена товара на происходящий из иностранного государства товар, в отношении которого установлено данное ограничение, если договор предусматривает поставку товара российского происхождения</w:t>
                  </w:r>
                  <w:r>
                    <w:rPr>
                      <w:rFonts w:eastAsia="Times New Roman" w:cs="Times New Roman"/>
                      <w:i w:val="false"/>
                      <w:iCs w:val="false"/>
                      <w:caps w:val="false"/>
                      <w:smallCaps w:val="false"/>
                      <w:color w:val="000000"/>
                      <w:spacing w:val="0"/>
                      <w:sz w:val="24"/>
                      <w:szCs w:val="24"/>
                      <w:shd w:fill="FFFFFF" w:val="clear"/>
                    </w:rPr>
                    <w:t>, по перечню согласно приложению N 2</w:t>
                  </w:r>
                  <w:r>
                    <w:rPr>
                      <w:rFonts w:eastAsia="Times New Roman" w:cs="Times New Roman"/>
                      <w:i w:val="false"/>
                      <w:iCs w:val="false"/>
                      <w:caps w:val="false"/>
                      <w:smallCaps w:val="false"/>
                      <w:color w:val="000000"/>
                      <w:spacing w:val="0"/>
                      <w:sz w:val="24"/>
                      <w:szCs w:val="24"/>
                      <w:shd w:fill="FFFFFF" w:val="clear"/>
                      <w:lang w:val="ru-RU"/>
                    </w:rPr>
                    <w:t xml:space="preserve"> ПП РФ № 1875.</w:t>
                  </w:r>
                </w:p>
                <w:p>
                  <w:pPr>
                    <w:pStyle w:val="Normal"/>
                    <w:widowControl w:val="false"/>
                    <w:spacing w:lineRule="auto" w:line="240" w:beforeAutospacing="0" w:before="0" w:afterAutospacing="0" w:after="0"/>
                    <w:ind w:left="0" w:right="0" w:hanging="0"/>
                    <w:jc w:val="center"/>
                    <w:rPr>
                      <w:rFonts w:ascii="Times New Roman" w:hAnsi="Times New Roman" w:cs="Times New Roman"/>
                      <w:color w:val="auto"/>
                      <w:sz w:val="20"/>
                      <w:szCs w:val="20"/>
                    </w:rPr>
                  </w:pPr>
                  <w:r>
                    <w:rPr>
                      <w:rFonts w:cs="Times New Roman"/>
                      <w:color w:val="auto"/>
                      <w:sz w:val="20"/>
                      <w:szCs w:val="20"/>
                    </w:rPr>
                  </w:r>
                </w:p>
                <w:p>
                  <w:pPr>
                    <w:pStyle w:val="Normal"/>
                    <w:widowControl w:val="false"/>
                    <w:spacing w:lineRule="auto" w:line="240" w:beforeAutospacing="0" w:before="0" w:afterAutospacing="0" w:after="0"/>
                    <w:ind w:left="0" w:right="0" w:hanging="0"/>
                    <w:jc w:val="left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</w:p>
              </w:tc>
              <w:tc>
                <w:tcPr>
                  <w:tcW w:w="3279" w:type="dxa"/>
                  <w:tcBorders/>
                  <w:vAlign w:val="center"/>
                </w:tcPr>
                <w:p>
                  <w:pPr>
                    <w:pStyle w:val="Normal"/>
                    <w:widowControl w:val="false"/>
                    <w:numPr>
                      <w:ilvl w:val="0"/>
                      <w:numId w:val="0"/>
                    </w:numPr>
                    <w:spacing w:lineRule="auto" w:line="240" w:beforeAutospacing="0" w:before="0" w:afterAutospacing="0" w:after="0"/>
                    <w:ind w:left="0" w:right="0" w:hanging="0"/>
                    <w:jc w:val="both"/>
                    <w:rPr>
                      <w:rFonts w:ascii="Times New Roman" w:hAnsi="Times New Roman" w:cs="Times New Roman"/>
                      <w:i/>
                      <w:i/>
                      <w:iCs/>
                      <w:caps w:val="false"/>
                      <w:smallCaps w:val="false"/>
                      <w:color w:val="333333" w:themeColor="text1"/>
                      <w:spacing w:val="0"/>
                      <w:sz w:val="20"/>
                      <w:szCs w:val="20"/>
                      <w:shd w:fill="FFFFFF" w:val="clear"/>
                    </w:rPr>
                  </w:pPr>
                  <w:r>
                    <w:rPr>
                      <w:rFonts w:eastAsia="Calibri" w:cs="Times New Roman" w:eastAsiaTheme="minorHAnsi"/>
                      <w:i w:val="false"/>
                      <w:iCs w:val="false"/>
                      <w:color w:val="000000" w:themeColor="text1"/>
                      <w:sz w:val="24"/>
                      <w:szCs w:val="24"/>
                      <w:lang w:val="ru-RU" w:eastAsia="en-US" w:bidi="ar-SA"/>
                    </w:rPr>
                    <w:t>Поставляемая продукция должна быть  быть включена в р</w:t>
                  </w:r>
                  <w:r>
                    <w:rPr>
                      <w:rFonts w:eastAsia="Times New Roman" w:cs="Times New Roman"/>
                      <w:i w:val="false"/>
                      <w:iCs w:val="false"/>
                      <w:caps w:val="false"/>
                      <w:smallCaps w:val="false"/>
                      <w:color w:val="000000" w:themeColor="text1"/>
                      <w:spacing w:val="0"/>
                      <w:sz w:val="24"/>
                      <w:szCs w:val="24"/>
                      <w:shd w:fill="FFFFFF" w:val="clear"/>
                      <w:lang w:val="ru-RU" w:eastAsia="ru-RU" w:bidi="ar-SA"/>
                    </w:rPr>
                    <w:t>еестры, а именно:</w:t>
                  </w:r>
                </w:p>
                <w:p>
                  <w:pPr>
                    <w:pStyle w:val="NormalWeb"/>
                    <w:keepNext w:val="false"/>
                    <w:keepLines w:val="false"/>
                    <w:widowControl w:val="false"/>
                    <w:numPr>
                      <w:ilvl w:val="0"/>
                      <w:numId w:val="7"/>
                    </w:numPr>
                    <w:shd w:val="clear" w:color="auto" w:fill="FFFFFF"/>
                    <w:spacing w:lineRule="auto" w:line="240" w:beforeAutospacing="0" w:before="0" w:afterAutospacing="0" w:after="0"/>
                    <w:ind w:left="0" w:right="0" w:hanging="0"/>
                    <w:jc w:val="left"/>
                    <w:rPr>
                      <w:rFonts w:ascii="Times New Roman" w:hAnsi="Times New Roman" w:cs="Times New Roman"/>
                      <w:i/>
                      <w:i/>
                      <w:iCs/>
                      <w:caps w:val="false"/>
                      <w:smallCaps w:val="false"/>
                      <w:color w:val="333333" w:themeColor="text1"/>
                      <w:spacing w:val="0"/>
                      <w:sz w:val="20"/>
                      <w:szCs w:val="20"/>
                      <w:shd w:fill="FFFFFF" w:val="clear"/>
                    </w:rPr>
                  </w:pPr>
                  <w:r>
                    <w:rPr>
                      <w:rFonts w:eastAsia="Times New Roman" w:cs="Times New Roman"/>
                      <w:i w:val="false"/>
                      <w:iCs w:val="false"/>
                      <w:caps w:val="false"/>
                      <w:smallCaps w:val="false"/>
                      <w:color w:val="000000" w:themeColor="text1"/>
                      <w:spacing w:val="0"/>
                      <w:sz w:val="24"/>
                      <w:szCs w:val="24"/>
                      <w:shd w:fill="FFFFFF" w:val="clear"/>
                      <w:lang w:val="ru-RU" w:eastAsia="ru-RU" w:bidi="ar-SA"/>
                    </w:rPr>
                    <w:t>Реестр российской промышленной продукции, предусмотренные статьей 17</w:t>
                  </w:r>
                  <w:r>
                    <w:rPr>
                      <w:rFonts w:eastAsia="Times New Roman" w:cs="Times New Roman"/>
                      <w:i w:val="false"/>
                      <w:iCs w:val="false"/>
                      <w:caps w:val="false"/>
                      <w:smallCaps w:val="false"/>
                      <w:color w:val="000000" w:themeColor="text1"/>
                      <w:spacing w:val="0"/>
                      <w:sz w:val="24"/>
                      <w:szCs w:val="24"/>
                      <w:shd w:fill="FFFFFF" w:val="clear"/>
                      <w:vertAlign w:val="superscript"/>
                      <w:lang w:val="ru-RU" w:eastAsia="ru-RU" w:bidi="ar-SA"/>
                    </w:rPr>
                    <w:t>1</w:t>
                  </w:r>
                  <w:r>
                    <w:rPr>
                      <w:rFonts w:eastAsia="Times New Roman" w:cs="Times New Roman"/>
                      <w:i w:val="false"/>
                      <w:iCs w:val="false"/>
                      <w:caps w:val="false"/>
                      <w:smallCaps w:val="false"/>
                      <w:color w:val="000000" w:themeColor="text1"/>
                      <w:spacing w:val="0"/>
                      <w:sz w:val="24"/>
                      <w:szCs w:val="24"/>
                      <w:shd w:fill="FFFFFF" w:val="clear"/>
                      <w:lang w:val="ru-RU" w:eastAsia="ru-RU" w:bidi="ar-SA"/>
                    </w:rPr>
                    <w:t> Федерального закона "О промышленной политике в Российской Федерации" содержащей в том числе: информацию о совокупном количестве баллов за выполнение (освоение) на территории Российской Федерации соответствующих операций (условий) (если в отношении такого товара Постановлением Правительства Российской Федерации от 17 июля 2015 г. N 719 «О подтверждении производства российской промышленной продукции» за выполнение (освоение) на территории Российской Федерации соответствующих операций (условий) установлены требования о совокупном количестве баллов), которое составляет или превышает значение, определенное постановлением Правительства Российской Федерации от 17 июля 2015 г. N 719.                         информацию об уровне радиоэлектронной продукции (для товара, являющегося в соответствии с постановлением Правительства Российской Федерации от 17 июля 2015 г. N 719;</w:t>
                  </w:r>
                </w:p>
                <w:p>
                  <w:pPr>
                    <w:pStyle w:val="NormalWeb"/>
                    <w:keepNext w:val="false"/>
                    <w:keepLines w:val="false"/>
                    <w:widowControl w:val="false"/>
                    <w:numPr>
                      <w:ilvl w:val="0"/>
                      <w:numId w:val="7"/>
                    </w:numPr>
                    <w:shd w:val="clear" w:color="auto" w:fill="FFFFFF"/>
                    <w:spacing w:lineRule="auto" w:line="240" w:beforeAutospacing="0" w:before="0" w:afterAutospacing="0" w:after="0"/>
                    <w:ind w:left="0" w:right="0" w:hanging="0"/>
                    <w:jc w:val="left"/>
                    <w:rPr>
                      <w:rFonts w:ascii="Times New Roman" w:hAnsi="Times New Roman" w:cs="Times New Roman"/>
                      <w:i/>
                      <w:i/>
                      <w:iCs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eastAsia="Calibri" w:cs="Times New Roman" w:eastAsiaTheme="minorHAnsi"/>
                      <w:i w:val="false"/>
                      <w:iCs w:val="false"/>
                      <w:color w:val="000000" w:themeColor="text1"/>
                      <w:sz w:val="24"/>
                      <w:szCs w:val="24"/>
                      <w:lang w:val="ru-RU" w:eastAsia="en-US" w:bidi="ar-SA"/>
                    </w:rPr>
                    <w:t xml:space="preserve">реестр промышленной продукции, произведенной на территории государства - члена Евразийского экономического союза, за исключением Российской Федерации </w:t>
                  </w:r>
                </w:p>
                <w:p>
                  <w:pPr>
                    <w:pStyle w:val="NormalWeb"/>
                    <w:keepNext w:val="false"/>
                    <w:keepLines w:val="false"/>
                    <w:widowControl w:val="false"/>
                    <w:numPr>
                      <w:ilvl w:val="0"/>
                      <w:numId w:val="7"/>
                    </w:numPr>
                    <w:shd w:val="clear" w:color="auto" w:fill="FFFFFF"/>
                    <w:spacing w:lineRule="auto" w:line="240" w:beforeAutospacing="0" w:before="0" w:afterAutospacing="0" w:after="0"/>
                    <w:ind w:left="0" w:right="0" w:hanging="0"/>
                    <w:jc w:val="left"/>
                    <w:rPr>
                      <w:rFonts w:ascii="Times New Roman" w:hAnsi="Times New Roman" w:cs="Times New Roman"/>
                      <w:i/>
                      <w:i/>
                      <w:iCs/>
                      <w:caps w:val="false"/>
                      <w:smallCaps w:val="false"/>
                      <w:color w:val="333333" w:themeColor="text1"/>
                      <w:spacing w:val="0"/>
                      <w:sz w:val="20"/>
                      <w:szCs w:val="20"/>
                      <w:shd w:fill="FFFFFF" w:val="clear"/>
                    </w:rPr>
                  </w:pPr>
                  <w:r>
                    <w:rPr>
                      <w:rFonts w:eastAsia="Times New Roman" w:cs="Times New Roman"/>
                      <w:i w:val="false"/>
                      <w:iCs w:val="false"/>
                      <w:caps w:val="false"/>
                      <w:smallCaps w:val="false"/>
                      <w:color w:val="000000" w:themeColor="text1"/>
                      <w:spacing w:val="0"/>
                      <w:sz w:val="24"/>
                      <w:szCs w:val="24"/>
                      <w:shd w:fill="FFFFFF" w:val="clear"/>
                      <w:lang w:val="ru-RU" w:eastAsia="ru-RU" w:bidi="ar-SA"/>
                    </w:rPr>
                    <w:t>информацию об уровне радиоэлектронной продукции (для товара, являющегося в соответствии с правом Евразийского экономического союза.</w:t>
                  </w:r>
                </w:p>
              </w:tc>
              <w:tc>
                <w:tcPr>
                  <w:tcW w:w="1881" w:type="dxa"/>
                  <w:tcBorders/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Autospacing="0" w:before="0" w:afterAutospacing="0" w:after="0"/>
                    <w:ind w:left="0" w:right="0" w:hanging="0"/>
                    <w:jc w:val="center"/>
                    <w:rPr/>
                  </w:pPr>
                  <w:r>
                    <w:rPr>
                      <w:i/>
                      <w:iCs/>
                      <w:sz w:val="24"/>
                      <w:szCs w:val="24"/>
                      <w:lang w:val="ru-RU" w:eastAsia="ru-RU" w:bidi="ar-SA"/>
                    </w:rPr>
                    <w:t>Согласие с требованием</w:t>
                  </w:r>
                </w:p>
                <w:p>
                  <w:pPr>
                    <w:pStyle w:val="Normal"/>
                    <w:widowControl w:val="false"/>
                    <w:spacing w:lineRule="auto" w:line="240" w:beforeAutospacing="0" w:before="0" w:afterAutospacing="0" w:after="0"/>
                    <w:ind w:left="0" w:right="0" w:hanging="0"/>
                    <w:jc w:val="center"/>
                    <w:rPr>
                      <w:i/>
                      <w:i/>
                      <w:iCs/>
                      <w:sz w:val="24"/>
                      <w:szCs w:val="24"/>
                    </w:rPr>
                  </w:pPr>
                  <w:r>
                    <w:rPr>
                      <w:i/>
                      <w:iCs/>
                      <w:sz w:val="24"/>
                      <w:szCs w:val="24"/>
                    </w:rPr>
                  </w:r>
                </w:p>
              </w:tc>
              <w:tc>
                <w:tcPr>
                  <w:tcW w:w="2236" w:type="dxa"/>
                  <w:tcBorders/>
                  <w:vAlign w:val="center"/>
                </w:tcPr>
                <w:p>
                  <w:pPr>
                    <w:pStyle w:val="Normal"/>
                    <w:widowControl w:val="false"/>
                    <w:ind w:left="0" w:right="0" w:hanging="0"/>
                    <w:jc w:val="left"/>
                    <w:rPr>
                      <w:rFonts w:ascii="Times New Roman" w:hAnsi="Times New Roman" w:eastAsia="Calibri" w:cs="Times New Roman" w:eastAsiaTheme="minorHAnsi"/>
                      <w:bCs/>
                      <w:i/>
                      <w:i/>
                      <w:sz w:val="20"/>
                      <w:szCs w:val="20"/>
                      <w:highlight w:val="none"/>
                    </w:rPr>
                  </w:pPr>
                  <w:r>
                    <w:rPr>
                      <w:rFonts w:eastAsia="Calibri" w:cs="Times New Roman" w:eastAsiaTheme="minorHAnsi"/>
                      <w:i/>
                      <w:iCs/>
                      <w:sz w:val="24"/>
                      <w:szCs w:val="24"/>
                      <w:lang w:eastAsia="en-US"/>
                    </w:rPr>
                    <w:t>Участник должен предоставить в составе заявки  Коммерческое предложение по форме, установленной документацией о закупке, с указанием в отношении поставляемой продукции информации</w:t>
                  </w:r>
                  <w:r>
                    <w:rPr>
                      <w:rFonts w:eastAsia="Calibri" w:cs="Times New Roman" w:eastAsiaTheme="minorHAnsi"/>
                      <w:i/>
                      <w:iCs/>
                      <w:sz w:val="24"/>
                      <w:szCs w:val="24"/>
                      <w:lang w:val="ru-RU" w:eastAsia="en-US"/>
                    </w:rPr>
                    <w:t>: о наименовании реестра(реестров),</w:t>
                  </w:r>
                  <w:r>
                    <w:rPr>
                      <w:rFonts w:eastAsia="Calibri" w:cs="Times New Roman" w:eastAsiaTheme="minorHAnsi"/>
                      <w:i/>
                      <w:iCs/>
                      <w:sz w:val="24"/>
                      <w:szCs w:val="24"/>
                      <w:lang w:eastAsia="en-US"/>
                    </w:rPr>
                    <w:t xml:space="preserve"> о номере (номерах) реестровой записи (реестровых записей) соответствующих реестров</w:t>
                  </w:r>
                </w:p>
                <w:p>
                  <w:pPr>
                    <w:pStyle w:val="Normal"/>
                    <w:widowControl w:val="false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cs="Times New Roman"/>
                      <w:sz w:val="20"/>
                      <w:szCs w:val="20"/>
                    </w:rPr>
                  </w:r>
                </w:p>
                <w:p>
                  <w:pPr>
                    <w:pStyle w:val="Normal"/>
                    <w:widowControl w:val="false"/>
                    <w:numPr>
                      <w:ilvl w:val="0"/>
                      <w:numId w:val="0"/>
                    </w:numPr>
                    <w:spacing w:lineRule="auto" w:line="240" w:beforeAutospacing="0" w:before="0" w:afterAutospacing="0" w:after="0"/>
                    <w:ind w:left="0" w:right="0" w:hanging="0"/>
                    <w:jc w:val="left"/>
                    <w:rPr>
                      <w:rFonts w:ascii="Times New Roman" w:hAnsi="Times New Roman" w:cs="Times New Roman"/>
                      <w:b w:val="false"/>
                      <w:bCs w:val="false"/>
                      <w:i w:val="false"/>
                      <w:i w:val="false"/>
                      <w:color w:val="FF0000"/>
                      <w:sz w:val="24"/>
                      <w:szCs w:val="24"/>
                      <w:highlight w:val="yellow"/>
                    </w:rPr>
                  </w:pPr>
                  <w:r>
                    <w:rPr>
                      <w:rFonts w:cs="Times New Roman"/>
                      <w:b w:val="false"/>
                      <w:bCs w:val="false"/>
                      <w:i w:val="false"/>
                      <w:color w:val="FF0000"/>
                      <w:sz w:val="24"/>
                      <w:szCs w:val="24"/>
                      <w:highlight w:val="yellow"/>
                    </w:rPr>
                  </w:r>
                </w:p>
              </w:tc>
              <w:tc>
                <w:tcPr>
                  <w:tcW w:w="2420" w:type="dxa"/>
                  <w:tcBorders/>
                </w:tcPr>
                <w:p>
                  <w:pPr>
                    <w:pStyle w:val="Normal"/>
                    <w:widowControl w:val="false"/>
                    <w:spacing w:before="0" w:after="0"/>
                    <w:jc w:val="center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</w:r>
                </w:p>
              </w:tc>
            </w:tr>
            <w:tr>
              <w:trPr>
                <w:trHeight w:val="419" w:hRule="atLeast"/>
              </w:trPr>
              <w:tc>
                <w:tcPr>
                  <w:tcW w:w="657" w:type="dxa"/>
                  <w:tcBorders/>
                  <w:vAlign w:val="center"/>
                </w:tcPr>
                <w:p>
                  <w:pPr>
                    <w:pStyle w:val="Normal"/>
                    <w:widowControl w:val="false"/>
                    <w:spacing w:before="60" w:after="60"/>
                    <w:ind w:left="0" w:right="0" w:hanging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kern w:val="0"/>
                      <w:sz w:val="24"/>
                      <w:szCs w:val="24"/>
                      <w:lang w:val="ru-RU" w:eastAsia="ru-RU" w:bidi="ar-SA"/>
                    </w:rPr>
                    <w:t xml:space="preserve">3. </w:t>
                  </w:r>
                </w:p>
              </w:tc>
              <w:tc>
                <w:tcPr>
                  <w:tcW w:w="8098" w:type="dxa"/>
                  <w:gridSpan w:val="2"/>
                  <w:tcBorders/>
                  <w:vAlign w:val="center"/>
                </w:tcPr>
                <w:p>
                  <w:pPr>
                    <w:pStyle w:val="Normal"/>
                    <w:widowControl w:val="false"/>
                    <w:spacing w:before="0" w:after="0"/>
                    <w:jc w:val="left"/>
                    <w:rPr>
                      <w:sz w:val="24"/>
                      <w:szCs w:val="24"/>
                    </w:rPr>
                  </w:pPr>
                  <w:r>
                    <w:rPr>
                      <w:b/>
                      <w:kern w:val="0"/>
                      <w:sz w:val="24"/>
                      <w:szCs w:val="24"/>
                      <w:lang w:val="ru-RU" w:eastAsia="ru-RU" w:bidi="ar-SA"/>
                    </w:rPr>
                    <w:t>Требования к отдельным обязательствам поставщика по договору:</w:t>
                  </w:r>
                </w:p>
              </w:tc>
              <w:tc>
                <w:tcPr>
                  <w:tcW w:w="1881" w:type="dxa"/>
                  <w:tcBorders/>
                </w:tcPr>
                <w:p>
                  <w:pPr>
                    <w:pStyle w:val="Normal"/>
                    <w:widowControl w:val="false"/>
                    <w:spacing w:before="0" w:after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</w:p>
              </w:tc>
              <w:tc>
                <w:tcPr>
                  <w:tcW w:w="2236" w:type="dxa"/>
                  <w:tcBorders/>
                  <w:vAlign w:val="center"/>
                </w:tcPr>
                <w:p>
                  <w:pPr>
                    <w:pStyle w:val="Normal"/>
                    <w:widowControl w:val="false"/>
                    <w:spacing w:before="0" w:after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</w:p>
              </w:tc>
              <w:tc>
                <w:tcPr>
                  <w:tcW w:w="2420" w:type="dxa"/>
                  <w:tcBorders/>
                </w:tcPr>
                <w:p>
                  <w:pPr>
                    <w:pStyle w:val="Normal"/>
                    <w:widowControl w:val="false"/>
                    <w:spacing w:before="0" w:after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</w:p>
              </w:tc>
            </w:tr>
            <w:tr>
              <w:trPr>
                <w:trHeight w:val="300" w:hRule="atLeast"/>
              </w:trPr>
              <w:tc>
                <w:tcPr>
                  <w:tcW w:w="657" w:type="dxa"/>
                  <w:tcBorders/>
                  <w:vAlign w:val="center"/>
                </w:tcPr>
                <w:p>
                  <w:pPr>
                    <w:pStyle w:val="Normal"/>
                    <w:widowControl w:val="false"/>
                    <w:spacing w:before="60" w:after="60"/>
                    <w:ind w:left="0" w:right="0" w:hanging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kern w:val="0"/>
                      <w:sz w:val="24"/>
                      <w:szCs w:val="24"/>
                      <w:lang w:val="ru-RU" w:eastAsia="ru-RU" w:bidi="ar-SA"/>
                    </w:rPr>
                    <w:t>3.1.</w:t>
                  </w:r>
                </w:p>
              </w:tc>
              <w:tc>
                <w:tcPr>
                  <w:tcW w:w="4819" w:type="dxa"/>
                  <w:tcBorders/>
                  <w:vAlign w:val="center"/>
                </w:tcPr>
                <w:p>
                  <w:pPr>
                    <w:pStyle w:val="Normal"/>
                    <w:widowControl w:val="false"/>
                    <w:spacing w:before="0" w:after="0"/>
                    <w:jc w:val="left"/>
                    <w:rPr>
                      <w:sz w:val="24"/>
                      <w:szCs w:val="24"/>
                    </w:rPr>
                  </w:pPr>
                  <w:r>
                    <w:rPr>
                      <w:kern w:val="0"/>
                      <w:sz w:val="24"/>
                      <w:szCs w:val="24"/>
                      <w:lang w:val="ru-RU" w:eastAsia="ru-RU" w:bidi="ar-SA"/>
                    </w:rPr>
                    <w:t>Требования к гарантиям, гарантийному и послегарантийному обслуживанию</w:t>
                  </w:r>
                </w:p>
              </w:tc>
              <w:tc>
                <w:tcPr>
                  <w:tcW w:w="3279" w:type="dxa"/>
                  <w:tcBorders/>
                  <w:vAlign w:val="center"/>
                </w:tcPr>
                <w:p>
                  <w:pPr>
                    <w:pStyle w:val="Normal"/>
                    <w:widowControl w:val="false"/>
                    <w:spacing w:before="0" w:after="0"/>
                    <w:ind w:right="126" w:hanging="0"/>
                    <w:jc w:val="left"/>
                    <w:rPr>
                      <w:sz w:val="24"/>
                      <w:szCs w:val="24"/>
                    </w:rPr>
                  </w:pPr>
                  <w:r>
                    <w:rPr>
                      <w:kern w:val="0"/>
                      <w:sz w:val="24"/>
                      <w:szCs w:val="24"/>
                      <w:lang w:val="ru-RU" w:eastAsia="en-US" w:bidi="ar-SA"/>
                    </w:rPr>
                    <w:t>Гарантийные</w:t>
                  </w:r>
                  <w:r>
                    <w:rPr>
                      <w:spacing w:val="1"/>
                      <w:kern w:val="0"/>
                      <w:sz w:val="24"/>
                      <w:szCs w:val="24"/>
                      <w:lang w:val="ru-RU" w:eastAsia="en-US" w:bidi="ar-SA"/>
                    </w:rPr>
                    <w:t xml:space="preserve"> </w:t>
                  </w:r>
                  <w:r>
                    <w:rPr>
                      <w:kern w:val="0"/>
                      <w:sz w:val="24"/>
                      <w:szCs w:val="24"/>
                      <w:lang w:val="ru-RU" w:eastAsia="en-US" w:bidi="ar-SA"/>
                    </w:rPr>
                    <w:t>обязательства</w:t>
                  </w:r>
                  <w:r>
                    <w:rPr>
                      <w:spacing w:val="1"/>
                      <w:kern w:val="0"/>
                      <w:sz w:val="24"/>
                      <w:szCs w:val="24"/>
                      <w:lang w:val="ru-RU" w:eastAsia="en-US" w:bidi="ar-SA"/>
                    </w:rPr>
                    <w:t xml:space="preserve"> </w:t>
                  </w:r>
                  <w:r>
                    <w:rPr>
                      <w:kern w:val="0"/>
                      <w:sz w:val="24"/>
                      <w:szCs w:val="24"/>
                      <w:lang w:val="ru-RU" w:eastAsia="en-US" w:bidi="ar-SA"/>
                    </w:rPr>
                    <w:t>действуют</w:t>
                  </w:r>
                  <w:r>
                    <w:rPr>
                      <w:spacing w:val="1"/>
                      <w:kern w:val="0"/>
                      <w:sz w:val="24"/>
                      <w:szCs w:val="24"/>
                      <w:lang w:val="ru-RU" w:eastAsia="en-US" w:bidi="ar-SA"/>
                    </w:rPr>
                    <w:t xml:space="preserve"> </w:t>
                  </w:r>
                  <w:r>
                    <w:rPr>
                      <w:kern w:val="0"/>
                      <w:sz w:val="24"/>
                      <w:szCs w:val="24"/>
                      <w:lang w:val="ru-RU" w:eastAsia="en-US" w:bidi="ar-SA"/>
                    </w:rPr>
                    <w:t>в</w:t>
                  </w:r>
                  <w:r>
                    <w:rPr>
                      <w:spacing w:val="1"/>
                      <w:kern w:val="0"/>
                      <w:sz w:val="24"/>
                      <w:szCs w:val="24"/>
                      <w:lang w:val="ru-RU" w:eastAsia="en-US" w:bidi="ar-SA"/>
                    </w:rPr>
                    <w:t xml:space="preserve"> </w:t>
                  </w:r>
                  <w:r>
                    <w:rPr>
                      <w:kern w:val="0"/>
                      <w:sz w:val="24"/>
                      <w:szCs w:val="24"/>
                      <w:lang w:val="ru-RU" w:eastAsia="en-US" w:bidi="ar-SA"/>
                    </w:rPr>
                    <w:t>течение</w:t>
                  </w:r>
                  <w:r>
                    <w:rPr>
                      <w:spacing w:val="1"/>
                      <w:kern w:val="0"/>
                      <w:sz w:val="24"/>
                      <w:szCs w:val="24"/>
                      <w:lang w:val="ru-RU" w:eastAsia="en-US" w:bidi="ar-SA"/>
                    </w:rPr>
                    <w:t xml:space="preserve"> не менее 12 </w:t>
                  </w:r>
                  <w:r>
                    <w:rPr>
                      <w:kern w:val="0"/>
                      <w:sz w:val="24"/>
                      <w:szCs w:val="24"/>
                      <w:lang w:val="ru-RU" w:eastAsia="en-US" w:bidi="ar-SA"/>
                    </w:rPr>
                    <w:t>(</w:t>
                  </w:r>
                  <w:r>
                    <w:rPr>
                      <w:rFonts w:cs="Times New Roman"/>
                      <w:kern w:val="0"/>
                      <w:sz w:val="24"/>
                      <w:szCs w:val="24"/>
                      <w:lang w:val="ru-RU" w:eastAsia="ru-RU" w:bidi="ar-SA"/>
                    </w:rPr>
                    <w:t>двенадцати</w:t>
                  </w:r>
                  <w:r>
                    <w:rPr>
                      <w:kern w:val="0"/>
                      <w:sz w:val="24"/>
                      <w:szCs w:val="24"/>
                      <w:lang w:val="ru-RU" w:eastAsia="en-US" w:bidi="ar-SA"/>
                    </w:rPr>
                    <w:t>)</w:t>
                  </w:r>
                  <w:r>
                    <w:rPr>
                      <w:spacing w:val="1"/>
                      <w:kern w:val="0"/>
                      <w:sz w:val="24"/>
                      <w:szCs w:val="24"/>
                      <w:lang w:val="ru-RU" w:eastAsia="en-US" w:bidi="ar-SA"/>
                    </w:rPr>
                    <w:t xml:space="preserve"> </w:t>
                  </w:r>
                  <w:r>
                    <w:rPr>
                      <w:kern w:val="0"/>
                      <w:sz w:val="24"/>
                      <w:szCs w:val="24"/>
                      <w:lang w:val="ru-RU" w:eastAsia="en-US" w:bidi="ar-SA"/>
                    </w:rPr>
                    <w:t>месяцев с</w:t>
                  </w:r>
                  <w:r>
                    <w:rPr>
                      <w:spacing w:val="1"/>
                      <w:kern w:val="0"/>
                      <w:sz w:val="24"/>
                      <w:szCs w:val="24"/>
                      <w:lang w:val="ru-RU" w:eastAsia="en-US" w:bidi="ar-SA"/>
                    </w:rPr>
                    <w:t xml:space="preserve"> </w:t>
                  </w:r>
                  <w:r>
                    <w:rPr>
                      <w:kern w:val="0"/>
                      <w:sz w:val="24"/>
                      <w:szCs w:val="24"/>
                      <w:lang w:val="ru-RU" w:eastAsia="en-US" w:bidi="ar-SA"/>
                    </w:rPr>
                    <w:t>даты</w:t>
                  </w:r>
                  <w:r>
                    <w:rPr>
                      <w:spacing w:val="1"/>
                      <w:kern w:val="0"/>
                      <w:sz w:val="24"/>
                      <w:szCs w:val="24"/>
                      <w:lang w:val="ru-RU" w:eastAsia="en-US" w:bidi="ar-SA"/>
                    </w:rPr>
                    <w:t xml:space="preserve"> </w:t>
                  </w:r>
                  <w:r>
                    <w:rPr>
                      <w:kern w:val="0"/>
                      <w:sz w:val="24"/>
                      <w:szCs w:val="24"/>
                      <w:lang w:val="ru-RU" w:eastAsia="en-US" w:bidi="ar-SA"/>
                    </w:rPr>
                    <w:t>подписания</w:t>
                  </w:r>
                  <w:bookmarkStart w:id="20" w:name="undefined"/>
                  <w:bookmarkEnd w:id="20"/>
                  <w:r>
                    <w:rPr>
                      <w:kern w:val="0"/>
                      <w:sz w:val="24"/>
                      <w:szCs w:val="24"/>
                      <w:lang w:val="ru-RU" w:eastAsia="en-US" w:bidi="ar-SA"/>
                    </w:rPr>
                    <w:t xml:space="preserve"> ТОРГ-12 / УПД.</w:t>
                  </w:r>
                </w:p>
                <w:p>
                  <w:pPr>
                    <w:pStyle w:val="Normal"/>
                    <w:widowControl w:val="false"/>
                    <w:spacing w:before="0" w:after="0"/>
                    <w:ind w:right="0" w:hanging="0"/>
                    <w:jc w:val="left"/>
                    <w:rPr>
                      <w:sz w:val="24"/>
                      <w:szCs w:val="24"/>
                    </w:rPr>
                  </w:pPr>
                  <w:r>
                    <w:rPr>
                      <w:kern w:val="0"/>
                      <w:sz w:val="24"/>
                      <w:szCs w:val="24"/>
                      <w:lang w:val="ru-RU" w:eastAsia="en-US" w:bidi="ar-SA"/>
                    </w:rPr>
                    <w:t>Транспортные расходы, связанные с исполнением гарантийных обязательств, возлагаются</w:t>
                  </w:r>
                  <w:r>
                    <w:rPr>
                      <w:spacing w:val="1"/>
                      <w:kern w:val="0"/>
                      <w:sz w:val="24"/>
                      <w:szCs w:val="24"/>
                      <w:lang w:val="ru-RU" w:eastAsia="en-US" w:bidi="ar-SA"/>
                    </w:rPr>
                    <w:t xml:space="preserve"> </w:t>
                  </w:r>
                  <w:r>
                    <w:rPr>
                      <w:spacing w:val="-1"/>
                      <w:kern w:val="0"/>
                      <w:sz w:val="24"/>
                      <w:szCs w:val="24"/>
                      <w:lang w:val="ru-RU" w:eastAsia="en-US" w:bidi="ar-SA"/>
                    </w:rPr>
                    <w:t>на</w:t>
                  </w:r>
                  <w:r>
                    <w:rPr>
                      <w:spacing w:val="-14"/>
                      <w:kern w:val="0"/>
                      <w:sz w:val="24"/>
                      <w:szCs w:val="24"/>
                      <w:lang w:val="ru-RU" w:eastAsia="en-US" w:bidi="ar-SA"/>
                    </w:rPr>
                    <w:t xml:space="preserve"> </w:t>
                  </w:r>
                  <w:r>
                    <w:rPr>
                      <w:spacing w:val="-1"/>
                      <w:kern w:val="0"/>
                      <w:sz w:val="24"/>
                      <w:szCs w:val="24"/>
                      <w:lang w:val="ru-RU" w:eastAsia="en-US" w:bidi="ar-SA"/>
                    </w:rPr>
                    <w:t>Поставщика.</w:t>
                  </w:r>
                </w:p>
                <w:p>
                  <w:pPr>
                    <w:pStyle w:val="Normal"/>
                    <w:widowControl w:val="false"/>
                    <w:spacing w:before="0" w:after="0"/>
                    <w:ind w:right="127" w:hanging="0"/>
                    <w:jc w:val="left"/>
                    <w:rPr>
                      <w:sz w:val="24"/>
                      <w:szCs w:val="24"/>
                    </w:rPr>
                  </w:pPr>
                  <w:r>
                    <w:rPr>
                      <w:spacing w:val="-1"/>
                      <w:kern w:val="0"/>
                      <w:sz w:val="24"/>
                      <w:szCs w:val="24"/>
                      <w:lang w:val="ru-RU" w:eastAsia="en-US" w:bidi="ar-SA"/>
                    </w:rPr>
                    <w:t>Послегарантийное обслуживание договором не предусмотрено.</w:t>
                  </w:r>
                </w:p>
              </w:tc>
              <w:tc>
                <w:tcPr>
                  <w:tcW w:w="1881" w:type="dxa"/>
                  <w:tcBorders/>
                  <w:vAlign w:val="center"/>
                </w:tcPr>
                <w:p>
                  <w:pPr>
                    <w:pStyle w:val="Normal"/>
                    <w:widowControl w:val="false"/>
                    <w:spacing w:before="0" w:after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i/>
                      <w:iCs/>
                      <w:kern w:val="0"/>
                      <w:sz w:val="24"/>
                      <w:szCs w:val="24"/>
                      <w:lang w:val="ru-RU" w:eastAsia="ru-RU" w:bidi="ar-SA"/>
                    </w:rPr>
                    <w:t>Согласие с требованием</w:t>
                  </w:r>
                </w:p>
                <w:p>
                  <w:pPr>
                    <w:pStyle w:val="Normal"/>
                    <w:widowControl w:val="false"/>
                    <w:spacing w:before="0" w:after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</w:p>
              </w:tc>
              <w:tc>
                <w:tcPr>
                  <w:tcW w:w="2236" w:type="dxa"/>
                  <w:tcBorders/>
                  <w:vAlign w:val="center"/>
                </w:tcPr>
                <w:p>
                  <w:pPr>
                    <w:pStyle w:val="Normal"/>
                    <w:widowControl w:val="false"/>
                    <w:spacing w:before="0" w:after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kern w:val="0"/>
                      <w:sz w:val="24"/>
                      <w:szCs w:val="24"/>
                      <w:lang w:val="en-US" w:eastAsia="ru-RU" w:bidi="ar-SA"/>
                    </w:rPr>
                    <w:t>“</w:t>
                  </w:r>
                  <w:r>
                    <w:rPr>
                      <w:kern w:val="0"/>
                      <w:sz w:val="24"/>
                      <w:szCs w:val="24"/>
                      <w:lang w:val="en-US" w:eastAsia="ru-RU" w:bidi="ar-SA"/>
                    </w:rPr>
                    <w:t>-”</w:t>
                  </w:r>
                </w:p>
              </w:tc>
              <w:tc>
                <w:tcPr>
                  <w:tcW w:w="2420" w:type="dxa"/>
                  <w:tcBorders/>
                </w:tcPr>
                <w:p>
                  <w:pPr>
                    <w:pStyle w:val="Normal"/>
                    <w:widowControl w:val="false"/>
                    <w:spacing w:before="0" w:after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</w:p>
              </w:tc>
            </w:tr>
            <w:tr>
              <w:trPr>
                <w:trHeight w:val="672" w:hRule="atLeast"/>
              </w:trPr>
              <w:tc>
                <w:tcPr>
                  <w:tcW w:w="657" w:type="dxa"/>
                  <w:tcBorders/>
                  <w:vAlign w:val="center"/>
                </w:tcPr>
                <w:p>
                  <w:pPr>
                    <w:pStyle w:val="Normal"/>
                    <w:widowControl w:val="false"/>
                    <w:spacing w:before="60" w:after="60"/>
                    <w:ind w:left="-142" w:right="0" w:hanging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kern w:val="0"/>
                      <w:sz w:val="24"/>
                      <w:szCs w:val="24"/>
                      <w:lang w:val="ru-RU" w:eastAsia="ru-RU" w:bidi="ar-SA"/>
                    </w:rPr>
                    <w:t>3.2.</w:t>
                  </w:r>
                </w:p>
              </w:tc>
              <w:tc>
                <w:tcPr>
                  <w:tcW w:w="4819" w:type="dxa"/>
                  <w:tcBorders/>
                  <w:vAlign w:val="center"/>
                </w:tcPr>
                <w:p>
                  <w:pPr>
                    <w:pStyle w:val="Normal"/>
                    <w:widowControl w:val="false"/>
                    <w:spacing w:before="0" w:after="0"/>
                    <w:jc w:val="left"/>
                    <w:rPr>
                      <w:sz w:val="24"/>
                      <w:szCs w:val="24"/>
                    </w:rPr>
                  </w:pPr>
                  <w:r>
                    <w:rPr>
                      <w:kern w:val="0"/>
                      <w:sz w:val="24"/>
                      <w:szCs w:val="24"/>
                      <w:lang w:val="ru-RU" w:eastAsia="ru-RU" w:bidi="ar-SA"/>
                    </w:rPr>
                    <w:t>Требования к документам, передаваемым вместе с оборудованием (на этапе исполнения договора)</w:t>
                  </w:r>
                </w:p>
              </w:tc>
              <w:tc>
                <w:tcPr>
                  <w:tcW w:w="3279" w:type="dxa"/>
                  <w:tcBorders/>
                  <w:vAlign w:val="center"/>
                </w:tcPr>
                <w:p>
                  <w:pPr>
                    <w:pStyle w:val="Normal"/>
                    <w:widowControl w:val="false"/>
                    <w:spacing w:before="0" w:after="0"/>
                    <w:ind w:right="126" w:hanging="0"/>
                    <w:jc w:val="left"/>
                    <w:rPr>
                      <w:sz w:val="24"/>
                      <w:szCs w:val="24"/>
                    </w:rPr>
                  </w:pPr>
                  <w:r>
                    <w:rPr>
                      <w:kern w:val="0"/>
                      <w:sz w:val="24"/>
                      <w:szCs w:val="24"/>
                      <w:lang w:val="ru-RU" w:eastAsia="en-US" w:bidi="ar-SA"/>
                    </w:rPr>
                    <w:t>в соответствии с п. 3.3 Проекта договора (Приложение № 2 к Документации о закупке)</w:t>
                  </w:r>
                </w:p>
              </w:tc>
              <w:tc>
                <w:tcPr>
                  <w:tcW w:w="1881" w:type="dxa"/>
                  <w:tcBorders/>
                  <w:vAlign w:val="center"/>
                </w:tcPr>
                <w:p>
                  <w:pPr>
                    <w:pStyle w:val="Normal"/>
                    <w:widowControl w:val="false"/>
                    <w:spacing w:before="0" w:after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i/>
                      <w:iCs/>
                      <w:kern w:val="0"/>
                      <w:sz w:val="24"/>
                      <w:szCs w:val="24"/>
                      <w:lang w:val="ru-RU" w:eastAsia="ru-RU" w:bidi="ar-SA"/>
                    </w:rPr>
                    <w:t>Согласие с требованием</w:t>
                  </w:r>
                </w:p>
              </w:tc>
              <w:tc>
                <w:tcPr>
                  <w:tcW w:w="2236" w:type="dxa"/>
                  <w:tcBorders/>
                  <w:vAlign w:val="center"/>
                </w:tcPr>
                <w:p>
                  <w:pPr>
                    <w:pStyle w:val="Normal"/>
                    <w:widowControl w:val="false"/>
                    <w:spacing w:before="0" w:after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kern w:val="0"/>
                      <w:sz w:val="24"/>
                      <w:szCs w:val="24"/>
                      <w:lang w:val="ru-RU" w:eastAsia="ru-RU" w:bidi="ar-SA"/>
                    </w:rPr>
                    <w:t>“</w:t>
                  </w:r>
                  <w:r>
                    <w:rPr>
                      <w:kern w:val="0"/>
                      <w:sz w:val="24"/>
                      <w:szCs w:val="24"/>
                      <w:lang w:val="ru-RU" w:eastAsia="ru-RU" w:bidi="ar-SA"/>
                    </w:rPr>
                    <w:t>-”</w:t>
                  </w:r>
                </w:p>
              </w:tc>
              <w:tc>
                <w:tcPr>
                  <w:tcW w:w="2420" w:type="dxa"/>
                  <w:tcBorders/>
                </w:tcPr>
                <w:p>
                  <w:pPr>
                    <w:pStyle w:val="Normal"/>
                    <w:widowControl w:val="false"/>
                    <w:spacing w:before="0" w:after="0"/>
                    <w:ind w:left="0" w:right="317" w:hanging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</w:p>
              </w:tc>
            </w:tr>
            <w:tr>
              <w:trPr>
                <w:trHeight w:val="355" w:hRule="atLeast"/>
              </w:trPr>
              <w:tc>
                <w:tcPr>
                  <w:tcW w:w="657" w:type="dxa"/>
                  <w:tcBorders/>
                  <w:vAlign w:val="center"/>
                </w:tcPr>
                <w:p>
                  <w:pPr>
                    <w:pStyle w:val="Normal"/>
                    <w:widowControl w:val="false"/>
                    <w:spacing w:before="60" w:after="60"/>
                    <w:ind w:left="-142" w:right="0" w:hanging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kern w:val="0"/>
                      <w:sz w:val="24"/>
                      <w:szCs w:val="24"/>
                      <w:lang w:val="ru-RU" w:eastAsia="ru-RU" w:bidi="ar-SA"/>
                    </w:rPr>
                    <w:t>3.3.</w:t>
                  </w:r>
                </w:p>
              </w:tc>
              <w:tc>
                <w:tcPr>
                  <w:tcW w:w="4819" w:type="dxa"/>
                  <w:tcBorders/>
                  <w:vAlign w:val="center"/>
                </w:tcPr>
                <w:p>
                  <w:pPr>
                    <w:pStyle w:val="Normal"/>
                    <w:widowControl w:val="false"/>
                    <w:spacing w:before="0" w:after="0"/>
                    <w:jc w:val="left"/>
                    <w:rPr>
                      <w:sz w:val="24"/>
                      <w:szCs w:val="24"/>
                    </w:rPr>
                  </w:pPr>
                  <w:r>
                    <w:rPr>
                      <w:kern w:val="0"/>
                      <w:sz w:val="24"/>
                      <w:szCs w:val="24"/>
                      <w:lang w:val="ru-RU" w:eastAsia="ru-RU" w:bidi="ar-SA"/>
                    </w:rPr>
                    <w:t>Требования к доставке,  маркировке, упаковке, транспортировке, перемещению, условиям хранения, приемке</w:t>
                  </w:r>
                </w:p>
              </w:tc>
              <w:tc>
                <w:tcPr>
                  <w:tcW w:w="3279" w:type="dxa"/>
                  <w:tcBorders/>
                  <w:vAlign w:val="center"/>
                </w:tcPr>
                <w:p>
                  <w:pPr>
                    <w:pStyle w:val="Normal"/>
                    <w:widowControl w:val="false"/>
                    <w:spacing w:before="0" w:after="0"/>
                    <w:ind w:right="126" w:hanging="0"/>
                    <w:jc w:val="left"/>
                    <w:rPr>
                      <w:color w:val="000000"/>
                      <w:sz w:val="24"/>
                      <w:szCs w:val="24"/>
                      <w:highlight w:val="white"/>
                    </w:rPr>
                  </w:pPr>
                  <w:r>
                    <w:rPr>
                      <w:kern w:val="0"/>
                      <w:sz w:val="24"/>
                      <w:szCs w:val="24"/>
                      <w:lang w:val="ru-RU" w:eastAsia="en-US" w:bidi="ar-SA"/>
                    </w:rPr>
                    <w:t xml:space="preserve">в соответствии с разделом </w:t>
                  </w:r>
                  <w:r>
                    <w:rPr>
                      <w:color w:val="000000" w:themeColor="text1"/>
                      <w:kern w:val="0"/>
                      <w:sz w:val="24"/>
                      <w:szCs w:val="24"/>
                      <w:highlight w:val="white"/>
                      <w:lang w:val="ru-RU" w:eastAsia="en-US" w:bidi="ar-SA"/>
                    </w:rPr>
                    <w:t>3 Проекта договора (Приложение 2 к документации о закупке)</w:t>
                  </w:r>
                </w:p>
              </w:tc>
              <w:tc>
                <w:tcPr>
                  <w:tcW w:w="1881" w:type="dxa"/>
                  <w:tcBorders/>
                  <w:vAlign w:val="center"/>
                </w:tcPr>
                <w:p>
                  <w:pPr>
                    <w:pStyle w:val="Normal"/>
                    <w:widowControl w:val="false"/>
                    <w:spacing w:before="0" w:after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i/>
                      <w:iCs/>
                      <w:kern w:val="0"/>
                      <w:sz w:val="24"/>
                      <w:szCs w:val="24"/>
                      <w:lang w:val="ru-RU" w:eastAsia="ru-RU" w:bidi="ar-SA"/>
                    </w:rPr>
                    <w:t>Согласие с требованием</w:t>
                  </w:r>
                </w:p>
              </w:tc>
              <w:tc>
                <w:tcPr>
                  <w:tcW w:w="2236" w:type="dxa"/>
                  <w:tcBorders/>
                  <w:vAlign w:val="center"/>
                </w:tcPr>
                <w:p>
                  <w:pPr>
                    <w:pStyle w:val="Normal"/>
                    <w:widowControl w:val="false"/>
                    <w:spacing w:before="0" w:after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kern w:val="0"/>
                      <w:sz w:val="24"/>
                      <w:szCs w:val="24"/>
                      <w:lang w:val="en-US" w:eastAsia="ru-RU" w:bidi="ar-SA"/>
                    </w:rPr>
                    <w:t>“</w:t>
                  </w:r>
                  <w:r>
                    <w:rPr>
                      <w:kern w:val="0"/>
                      <w:sz w:val="24"/>
                      <w:szCs w:val="24"/>
                      <w:lang w:val="en-US" w:eastAsia="ru-RU" w:bidi="ar-SA"/>
                    </w:rPr>
                    <w:t>-”</w:t>
                  </w:r>
                </w:p>
              </w:tc>
              <w:tc>
                <w:tcPr>
                  <w:tcW w:w="2420" w:type="dxa"/>
                  <w:tcBorders/>
                  <w:vAlign w:val="center"/>
                </w:tcPr>
                <w:p>
                  <w:pPr>
                    <w:pStyle w:val="Normal"/>
                    <w:widowControl w:val="false"/>
                    <w:spacing w:before="0" w:after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</w:p>
              </w:tc>
            </w:tr>
          </w:tbl>
          <w:p>
            <w:pPr>
              <w:pStyle w:val="Normal"/>
              <w:widowControl w:val="fals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</w:tbl>
    <w:p>
      <w:pPr>
        <w:pStyle w:val="Normal"/>
        <w:rPr>
          <w:color w:val="000000" w:themeColor="text1"/>
        </w:rPr>
      </w:pPr>
      <w:r>
        <w:rPr>
          <w:color w:val="000000" w:themeColor="text1"/>
        </w:rPr>
      </w:r>
    </w:p>
    <w:tbl>
      <w:tblPr>
        <w:tblStyle w:val="905"/>
        <w:tblW w:w="15166" w:type="dxa"/>
        <w:jc w:val="left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 w:noHBand="0" w:noVBand="1" w:firstColumn="1" w:lastRow="0" w:lastColumn="0" w:firstRow="1"/>
      </w:tblPr>
      <w:tblGrid>
        <w:gridCol w:w="57"/>
        <w:gridCol w:w="4752"/>
        <w:gridCol w:w="1287"/>
        <w:gridCol w:w="2973"/>
        <w:gridCol w:w="1836"/>
        <w:gridCol w:w="4260"/>
      </w:tblGrid>
      <w:tr>
        <w:trPr/>
        <w:tc>
          <w:tcPr>
            <w:tcW w:w="15165" w:type="dxa"/>
            <w:gridSpan w:val="6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left"/>
              <w:rPr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/>
                <w:i w:val="false"/>
                <w:strike w:val="false"/>
                <w:dstrike w:val="false"/>
                <w:color w:val="000000"/>
                <w:kern w:val="0"/>
                <w:position w:val="0"/>
                <w:sz w:val="24"/>
                <w:sz w:val="24"/>
                <w:u w:val="none"/>
                <w:vertAlign w:val="baseline"/>
                <w:lang w:val="ru-RU" w:eastAsia="ru-RU" w:bidi="ar-SA"/>
              </w:rPr>
              <w:t>3.    Требования к документации по ценообразованию на этапе закупки</w:t>
            </w:r>
          </w:p>
        </w:tc>
      </w:tr>
      <w:tr>
        <w:trPr/>
        <w:tc>
          <w:tcPr>
            <w:tcW w:w="15165" w:type="dxa"/>
            <w:gridSpan w:val="6"/>
            <w:tcBorders/>
            <w:vAlign w:val="bottom"/>
          </w:tcPr>
          <w:p>
            <w:pPr>
              <w:pStyle w:val="Normal"/>
              <w:widowControl w:val="false"/>
              <w:spacing w:before="0" w:after="0"/>
              <w:jc w:val="left"/>
              <w:rPr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 w:val="false"/>
                <w:i/>
                <w:strike w:val="false"/>
                <w:dstrike w:val="false"/>
                <w:color w:val="000000"/>
                <w:kern w:val="0"/>
                <w:position w:val="0"/>
                <w:sz w:val="24"/>
                <w:sz w:val="24"/>
                <w:u w:val="none"/>
                <w:vertAlign w:val="baseline"/>
                <w:lang w:val="ru-RU" w:eastAsia="ru-RU" w:bidi="ar-SA"/>
              </w:rPr>
              <w:t>отсутствуют</w:t>
            </w:r>
          </w:p>
        </w:tc>
      </w:tr>
      <w:tr>
        <w:trPr/>
        <w:tc>
          <w:tcPr>
            <w:tcW w:w="57" w:type="dxa"/>
            <w:tcBorders/>
            <w:vAlign w:val="bottom"/>
          </w:tcPr>
          <w:p>
            <w:pPr>
              <w:pStyle w:val="Normal"/>
              <w:widowControl w:val="false"/>
              <w:spacing w:before="0" w:after="0"/>
              <w:jc w:val="left"/>
              <w:rPr>
                <w:kern w:val="0"/>
                <w:lang w:val="ru-RU" w:eastAsia="ru-RU" w:bidi="ar-SA"/>
              </w:rPr>
            </w:pPr>
            <w:r>
              <w:rPr>
                <w:kern w:val="0"/>
                <w:lang w:val="ru-RU" w:eastAsia="ru-RU" w:bidi="ar-SA"/>
              </w:rPr>
            </w:r>
          </w:p>
        </w:tc>
        <w:tc>
          <w:tcPr>
            <w:tcW w:w="6039" w:type="dxa"/>
            <w:gridSpan w:val="2"/>
            <w:tcBorders/>
            <w:vAlign w:val="bottom"/>
          </w:tcPr>
          <w:p>
            <w:pPr>
              <w:pStyle w:val="Normal"/>
              <w:widowControl w:val="false"/>
              <w:spacing w:before="0" w:after="0"/>
              <w:jc w:val="left"/>
              <w:rPr>
                <w:kern w:val="0"/>
                <w:lang w:val="ru-RU" w:eastAsia="ru-RU" w:bidi="ar-SA"/>
              </w:rPr>
            </w:pPr>
            <w:r>
              <w:rPr>
                <w:kern w:val="0"/>
                <w:lang w:val="ru-RU" w:eastAsia="ru-RU" w:bidi="ar-SA"/>
              </w:rPr>
            </w:r>
          </w:p>
        </w:tc>
        <w:tc>
          <w:tcPr>
            <w:tcW w:w="4809" w:type="dxa"/>
            <w:gridSpan w:val="2"/>
            <w:tcBorders/>
            <w:vAlign w:val="bottom"/>
          </w:tcPr>
          <w:p>
            <w:pPr>
              <w:pStyle w:val="Normal"/>
              <w:widowControl w:val="false"/>
              <w:spacing w:before="0" w:after="0"/>
              <w:jc w:val="left"/>
              <w:rPr>
                <w:kern w:val="0"/>
                <w:lang w:val="ru-RU" w:eastAsia="ru-RU" w:bidi="ar-SA"/>
              </w:rPr>
            </w:pPr>
            <w:r>
              <w:rPr>
                <w:kern w:val="0"/>
                <w:lang w:val="ru-RU" w:eastAsia="ru-RU" w:bidi="ar-SA"/>
              </w:rPr>
            </w:r>
          </w:p>
        </w:tc>
        <w:tc>
          <w:tcPr>
            <w:tcW w:w="4260" w:type="dxa"/>
            <w:tcBorders/>
            <w:vAlign w:val="bottom"/>
          </w:tcPr>
          <w:p>
            <w:pPr>
              <w:pStyle w:val="Normal"/>
              <w:widowControl w:val="false"/>
              <w:spacing w:before="0" w:after="0"/>
              <w:jc w:val="center"/>
              <w:rPr>
                <w:kern w:val="0"/>
                <w:lang w:val="ru-RU" w:eastAsia="ru-RU" w:bidi="ar-SA"/>
              </w:rPr>
            </w:pPr>
            <w:r>
              <w:rPr>
                <w:kern w:val="0"/>
                <w:lang w:val="ru-RU" w:eastAsia="ru-RU" w:bidi="ar-SA"/>
              </w:rPr>
            </w:r>
          </w:p>
        </w:tc>
      </w:tr>
      <w:tr>
        <w:trPr/>
        <w:tc>
          <w:tcPr>
            <w:tcW w:w="10905" w:type="dxa"/>
            <w:gridSpan w:val="5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left"/>
              <w:rPr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/>
                <w:i w:val="false"/>
                <w:strike w:val="false"/>
                <w:dstrike w:val="false"/>
                <w:color w:val="000000"/>
                <w:kern w:val="0"/>
                <w:position w:val="0"/>
                <w:sz w:val="24"/>
                <w:sz w:val="24"/>
                <w:u w:val="none"/>
                <w:vertAlign w:val="baseline"/>
                <w:lang w:val="ru-RU" w:eastAsia="ru-RU" w:bidi="ar-SA"/>
              </w:rPr>
              <w:t>4.    Требования к документации по ценообразованию на этапе заключения (исполнения) договора</w:t>
            </w:r>
          </w:p>
        </w:tc>
        <w:tc>
          <w:tcPr>
            <w:tcW w:w="4260" w:type="dxa"/>
            <w:tcBorders/>
            <w:vAlign w:val="bottom"/>
          </w:tcPr>
          <w:p>
            <w:pPr>
              <w:pStyle w:val="Normal"/>
              <w:widowControl w:val="false"/>
              <w:spacing w:before="0" w:after="0"/>
              <w:jc w:val="center"/>
              <w:rPr>
                <w:kern w:val="0"/>
                <w:lang w:val="ru-RU" w:eastAsia="ru-RU" w:bidi="ar-SA"/>
              </w:rPr>
            </w:pPr>
            <w:r>
              <w:rPr>
                <w:kern w:val="0"/>
                <w:lang w:val="ru-RU" w:eastAsia="ru-RU" w:bidi="ar-SA"/>
              </w:rPr>
            </w:r>
          </w:p>
        </w:tc>
      </w:tr>
      <w:tr>
        <w:trPr/>
        <w:tc>
          <w:tcPr>
            <w:tcW w:w="15165" w:type="dxa"/>
            <w:gridSpan w:val="6"/>
            <w:tcBorders/>
            <w:vAlign w:val="bottom"/>
          </w:tcPr>
          <w:p>
            <w:pPr>
              <w:pStyle w:val="Normal"/>
              <w:widowControl w:val="false"/>
              <w:spacing w:before="0" w:after="0"/>
              <w:jc w:val="left"/>
              <w:rPr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 w:val="false"/>
                <w:i/>
                <w:strike w:val="false"/>
                <w:dstrike w:val="false"/>
                <w:color w:val="000000"/>
                <w:kern w:val="0"/>
                <w:position w:val="0"/>
                <w:sz w:val="24"/>
                <w:sz w:val="24"/>
                <w:u w:val="none"/>
                <w:vertAlign w:val="baseline"/>
                <w:lang w:val="ru-RU" w:eastAsia="ru-RU" w:bidi="ar-SA"/>
              </w:rPr>
              <w:t>отсутствуют</w:t>
            </w:r>
          </w:p>
        </w:tc>
      </w:tr>
      <w:tr>
        <w:trPr/>
        <w:tc>
          <w:tcPr>
            <w:tcW w:w="57" w:type="dxa"/>
            <w:tcBorders/>
            <w:vAlign w:val="bottom"/>
          </w:tcPr>
          <w:p>
            <w:pPr>
              <w:pStyle w:val="Normal"/>
              <w:widowControl w:val="false"/>
              <w:spacing w:before="0" w:after="0"/>
              <w:jc w:val="left"/>
              <w:rPr>
                <w:kern w:val="0"/>
                <w:lang w:val="ru-RU" w:eastAsia="ru-RU" w:bidi="ar-SA"/>
              </w:rPr>
            </w:pPr>
            <w:r>
              <w:rPr>
                <w:kern w:val="0"/>
                <w:lang w:val="ru-RU" w:eastAsia="ru-RU" w:bidi="ar-SA"/>
              </w:rPr>
            </w:r>
          </w:p>
        </w:tc>
        <w:tc>
          <w:tcPr>
            <w:tcW w:w="6039" w:type="dxa"/>
            <w:gridSpan w:val="2"/>
            <w:tcBorders/>
            <w:vAlign w:val="bottom"/>
          </w:tcPr>
          <w:p>
            <w:pPr>
              <w:pStyle w:val="Normal"/>
              <w:widowControl w:val="false"/>
              <w:spacing w:before="0" w:after="0"/>
              <w:jc w:val="left"/>
              <w:rPr>
                <w:kern w:val="0"/>
                <w:lang w:val="ru-RU" w:eastAsia="ru-RU" w:bidi="ar-SA"/>
              </w:rPr>
            </w:pPr>
            <w:r>
              <w:rPr>
                <w:kern w:val="0"/>
                <w:lang w:val="ru-RU" w:eastAsia="ru-RU" w:bidi="ar-SA"/>
              </w:rPr>
            </w:r>
          </w:p>
        </w:tc>
        <w:tc>
          <w:tcPr>
            <w:tcW w:w="4809" w:type="dxa"/>
            <w:gridSpan w:val="2"/>
            <w:tcBorders/>
            <w:vAlign w:val="bottom"/>
          </w:tcPr>
          <w:p>
            <w:pPr>
              <w:pStyle w:val="Normal"/>
              <w:widowControl w:val="false"/>
              <w:spacing w:before="0" w:after="0"/>
              <w:jc w:val="left"/>
              <w:rPr>
                <w:kern w:val="0"/>
                <w:lang w:val="ru-RU" w:eastAsia="ru-RU" w:bidi="ar-SA"/>
              </w:rPr>
            </w:pPr>
            <w:r>
              <w:rPr>
                <w:kern w:val="0"/>
                <w:lang w:val="ru-RU" w:eastAsia="ru-RU" w:bidi="ar-SA"/>
              </w:rPr>
            </w:r>
          </w:p>
        </w:tc>
        <w:tc>
          <w:tcPr>
            <w:tcW w:w="4260" w:type="dxa"/>
            <w:tcBorders/>
            <w:vAlign w:val="bottom"/>
          </w:tcPr>
          <w:p>
            <w:pPr>
              <w:pStyle w:val="Normal"/>
              <w:widowControl w:val="false"/>
              <w:spacing w:before="0" w:after="0"/>
              <w:jc w:val="center"/>
              <w:rPr>
                <w:kern w:val="0"/>
                <w:lang w:val="ru-RU" w:eastAsia="ru-RU" w:bidi="ar-SA"/>
              </w:rPr>
            </w:pPr>
            <w:r>
              <w:rPr>
                <w:kern w:val="0"/>
                <w:lang w:val="ru-RU" w:eastAsia="ru-RU" w:bidi="ar-SA"/>
              </w:rPr>
            </w:r>
          </w:p>
        </w:tc>
      </w:tr>
      <w:tr>
        <w:trPr/>
        <w:tc>
          <w:tcPr>
            <w:tcW w:w="6096" w:type="dxa"/>
            <w:gridSpan w:val="3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left"/>
              <w:rPr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/>
                <w:i w:val="false"/>
                <w:strike w:val="false"/>
                <w:dstrike w:val="false"/>
                <w:color w:val="000000"/>
                <w:kern w:val="0"/>
                <w:position w:val="0"/>
                <w:sz w:val="24"/>
                <w:sz w:val="24"/>
                <w:u w:val="none"/>
                <w:vertAlign w:val="baseline"/>
                <w:lang w:val="ru-RU" w:eastAsia="ru-RU" w:bidi="ar-SA"/>
              </w:rPr>
              <w:t>5.    Приложения</w:t>
            </w:r>
          </w:p>
        </w:tc>
        <w:tc>
          <w:tcPr>
            <w:tcW w:w="4809" w:type="dxa"/>
            <w:gridSpan w:val="2"/>
            <w:tcBorders/>
            <w:vAlign w:val="bottom"/>
          </w:tcPr>
          <w:p>
            <w:pPr>
              <w:pStyle w:val="Normal"/>
              <w:widowControl w:val="false"/>
              <w:spacing w:before="0" w:after="0"/>
              <w:jc w:val="left"/>
              <w:rPr>
                <w:kern w:val="0"/>
                <w:lang w:val="ru-RU" w:eastAsia="ru-RU" w:bidi="ar-SA"/>
              </w:rPr>
            </w:pPr>
            <w:r>
              <w:rPr>
                <w:kern w:val="0"/>
                <w:lang w:val="ru-RU" w:eastAsia="ru-RU" w:bidi="ar-SA"/>
              </w:rPr>
            </w:r>
          </w:p>
        </w:tc>
        <w:tc>
          <w:tcPr>
            <w:tcW w:w="4260" w:type="dxa"/>
            <w:tcBorders/>
            <w:vAlign w:val="bottom"/>
          </w:tcPr>
          <w:p>
            <w:pPr>
              <w:pStyle w:val="Normal"/>
              <w:widowControl w:val="false"/>
              <w:spacing w:before="0" w:after="0"/>
              <w:jc w:val="center"/>
              <w:rPr>
                <w:kern w:val="0"/>
                <w:lang w:val="ru-RU" w:eastAsia="ru-RU" w:bidi="ar-SA"/>
              </w:rPr>
            </w:pPr>
            <w:r>
              <w:rPr>
                <w:kern w:val="0"/>
                <w:lang w:val="ru-RU" w:eastAsia="ru-RU" w:bidi="ar-SA"/>
              </w:rPr>
            </w:r>
          </w:p>
        </w:tc>
      </w:tr>
      <w:tr>
        <w:trPr>
          <w:trHeight w:val="788" w:hRule="atLeast"/>
        </w:trPr>
        <w:tc>
          <w:tcPr>
            <w:tcW w:w="15165" w:type="dxa"/>
            <w:gridSpan w:val="6"/>
            <w:tcBorders/>
            <w:vAlign w:val="bottom"/>
          </w:tcPr>
          <w:p>
            <w:pPr>
              <w:pStyle w:val="Normal"/>
              <w:widowControl w:val="false"/>
              <w:spacing w:before="0" w:after="0"/>
              <w:jc w:val="left"/>
              <w:rPr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 w:val="false"/>
                <w:i/>
                <w:strike w:val="false"/>
                <w:dstrike w:val="false"/>
                <w:color w:val="000000"/>
                <w:kern w:val="0"/>
                <w:position w:val="0"/>
                <w:sz w:val="24"/>
                <w:sz w:val="24"/>
                <w:u w:val="none"/>
                <w:vertAlign w:val="baseline"/>
                <w:lang w:val="ru-RU" w:eastAsia="ru-RU" w:bidi="ar-SA"/>
              </w:rPr>
              <w:t>Приложение №1 к Техническим требованиям - "Технические, функциональные характеристики (потребительские свойства), количественные, качественные характеристики продукции"</w:t>
            </w:r>
          </w:p>
        </w:tc>
      </w:tr>
      <w:tr>
        <w:trPr/>
        <w:tc>
          <w:tcPr>
            <w:tcW w:w="57" w:type="dxa"/>
            <w:tcBorders/>
            <w:vAlign w:val="bottom"/>
          </w:tcPr>
          <w:p>
            <w:pPr>
              <w:pStyle w:val="Normal"/>
              <w:widowControl w:val="false"/>
              <w:spacing w:before="0" w:after="0"/>
              <w:jc w:val="left"/>
              <w:rPr>
                <w:kern w:val="0"/>
                <w:lang w:val="ru-RU" w:eastAsia="ru-RU" w:bidi="ar-SA"/>
              </w:rPr>
            </w:pPr>
            <w:r>
              <w:rPr>
                <w:kern w:val="0"/>
                <w:lang w:val="ru-RU" w:eastAsia="ru-RU" w:bidi="ar-SA"/>
              </w:rPr>
            </w:r>
          </w:p>
        </w:tc>
        <w:tc>
          <w:tcPr>
            <w:tcW w:w="6039" w:type="dxa"/>
            <w:gridSpan w:val="2"/>
            <w:tcBorders/>
            <w:vAlign w:val="bottom"/>
          </w:tcPr>
          <w:p>
            <w:pPr>
              <w:pStyle w:val="Normal"/>
              <w:widowControl w:val="false"/>
              <w:spacing w:before="0" w:after="0"/>
              <w:jc w:val="left"/>
              <w:rPr>
                <w:kern w:val="0"/>
                <w:lang w:val="ru-RU" w:eastAsia="ru-RU" w:bidi="ar-SA"/>
              </w:rPr>
            </w:pPr>
            <w:r>
              <w:rPr>
                <w:kern w:val="0"/>
                <w:lang w:val="ru-RU" w:eastAsia="ru-RU" w:bidi="ar-SA"/>
              </w:rPr>
            </w:r>
          </w:p>
        </w:tc>
        <w:tc>
          <w:tcPr>
            <w:tcW w:w="4809" w:type="dxa"/>
            <w:gridSpan w:val="2"/>
            <w:tcBorders/>
            <w:vAlign w:val="bottom"/>
          </w:tcPr>
          <w:p>
            <w:pPr>
              <w:pStyle w:val="Normal"/>
              <w:widowControl w:val="false"/>
              <w:spacing w:before="0" w:after="0"/>
              <w:jc w:val="left"/>
              <w:rPr>
                <w:kern w:val="0"/>
                <w:lang w:val="ru-RU" w:eastAsia="ru-RU" w:bidi="ar-SA"/>
              </w:rPr>
            </w:pPr>
            <w:r>
              <w:rPr>
                <w:kern w:val="0"/>
                <w:lang w:val="ru-RU" w:eastAsia="ru-RU" w:bidi="ar-SA"/>
              </w:rPr>
            </w:r>
          </w:p>
        </w:tc>
        <w:tc>
          <w:tcPr>
            <w:tcW w:w="4260" w:type="dxa"/>
            <w:tcBorders/>
            <w:vAlign w:val="bottom"/>
          </w:tcPr>
          <w:p>
            <w:pPr>
              <w:pStyle w:val="Normal"/>
              <w:widowControl w:val="false"/>
              <w:spacing w:before="0" w:after="0"/>
              <w:jc w:val="left"/>
              <w:rPr>
                <w:kern w:val="0"/>
                <w:lang w:val="ru-RU" w:eastAsia="ru-RU" w:bidi="ar-SA"/>
              </w:rPr>
            </w:pPr>
            <w:r>
              <w:rPr>
                <w:kern w:val="0"/>
                <w:lang w:val="ru-RU" w:eastAsia="ru-RU" w:bidi="ar-SA"/>
              </w:rPr>
            </w:r>
          </w:p>
        </w:tc>
      </w:tr>
      <w:tr>
        <w:trPr/>
        <w:tc>
          <w:tcPr>
            <w:tcW w:w="57" w:type="dxa"/>
            <w:tcBorders/>
            <w:vAlign w:val="bottom"/>
          </w:tcPr>
          <w:p>
            <w:pPr>
              <w:pStyle w:val="Normal"/>
              <w:widowControl w:val="false"/>
              <w:spacing w:before="0" w:after="0"/>
              <w:jc w:val="left"/>
              <w:rPr>
                <w:kern w:val="0"/>
                <w:lang w:val="ru-RU" w:eastAsia="ru-RU" w:bidi="ar-SA"/>
              </w:rPr>
            </w:pPr>
            <w:r>
              <w:rPr>
                <w:kern w:val="0"/>
                <w:lang w:val="ru-RU" w:eastAsia="ru-RU" w:bidi="ar-SA"/>
              </w:rPr>
            </w:r>
          </w:p>
        </w:tc>
        <w:tc>
          <w:tcPr>
            <w:tcW w:w="6039" w:type="dxa"/>
            <w:gridSpan w:val="2"/>
            <w:tcBorders/>
            <w:vAlign w:val="bottom"/>
          </w:tcPr>
          <w:p>
            <w:pPr>
              <w:pStyle w:val="Normal"/>
              <w:widowControl w:val="false"/>
              <w:spacing w:before="0" w:after="0"/>
              <w:jc w:val="left"/>
              <w:rPr>
                <w:kern w:val="0"/>
                <w:lang w:val="ru-RU" w:eastAsia="ru-RU" w:bidi="ar-SA"/>
              </w:rPr>
            </w:pPr>
            <w:r>
              <w:rPr>
                <w:kern w:val="0"/>
                <w:lang w:val="ru-RU" w:eastAsia="ru-RU" w:bidi="ar-SA"/>
              </w:rPr>
            </w:r>
          </w:p>
        </w:tc>
        <w:tc>
          <w:tcPr>
            <w:tcW w:w="4809" w:type="dxa"/>
            <w:gridSpan w:val="2"/>
            <w:tcBorders/>
            <w:vAlign w:val="bottom"/>
          </w:tcPr>
          <w:p>
            <w:pPr>
              <w:pStyle w:val="Normal"/>
              <w:widowControl w:val="false"/>
              <w:spacing w:before="0" w:after="0"/>
              <w:jc w:val="left"/>
              <w:rPr>
                <w:kern w:val="0"/>
                <w:lang w:val="ru-RU" w:eastAsia="ru-RU" w:bidi="ar-SA"/>
              </w:rPr>
            </w:pPr>
            <w:r>
              <w:rPr>
                <w:kern w:val="0"/>
                <w:lang w:val="ru-RU" w:eastAsia="ru-RU" w:bidi="ar-SA"/>
              </w:rPr>
            </w:r>
          </w:p>
        </w:tc>
        <w:tc>
          <w:tcPr>
            <w:tcW w:w="4260" w:type="dxa"/>
            <w:tcBorders/>
            <w:vAlign w:val="bottom"/>
          </w:tcPr>
          <w:p>
            <w:pPr>
              <w:pStyle w:val="Normal"/>
              <w:widowControl w:val="false"/>
              <w:spacing w:before="0" w:after="0"/>
              <w:jc w:val="left"/>
              <w:rPr>
                <w:kern w:val="0"/>
                <w:lang w:val="ru-RU" w:eastAsia="ru-RU" w:bidi="ar-SA"/>
              </w:rPr>
            </w:pPr>
            <w:r>
              <w:rPr>
                <w:kern w:val="0"/>
                <w:lang w:val="ru-RU" w:eastAsia="ru-RU" w:bidi="ar-SA"/>
              </w:rPr>
            </w:r>
          </w:p>
        </w:tc>
      </w:tr>
      <w:tr>
        <w:trPr/>
        <w:tc>
          <w:tcPr>
            <w:tcW w:w="57" w:type="dxa"/>
            <w:tcBorders/>
            <w:vAlign w:val="bottom"/>
          </w:tcPr>
          <w:p>
            <w:pPr>
              <w:pStyle w:val="Normal"/>
              <w:widowControl w:val="false"/>
              <w:spacing w:before="0" w:after="0"/>
              <w:jc w:val="left"/>
              <w:rPr>
                <w:kern w:val="0"/>
                <w:lang w:val="ru-RU" w:eastAsia="ru-RU" w:bidi="ar-SA"/>
              </w:rPr>
            </w:pPr>
            <w:r>
              <w:rPr>
                <w:kern w:val="0"/>
                <w:lang w:val="ru-RU" w:eastAsia="ru-RU" w:bidi="ar-SA"/>
              </w:rPr>
            </w:r>
          </w:p>
        </w:tc>
        <w:tc>
          <w:tcPr>
            <w:tcW w:w="6039" w:type="dxa"/>
            <w:gridSpan w:val="2"/>
            <w:tcBorders/>
            <w:vAlign w:val="bottom"/>
          </w:tcPr>
          <w:p>
            <w:pPr>
              <w:pStyle w:val="Normal"/>
              <w:widowControl w:val="false"/>
              <w:spacing w:before="0" w:after="0"/>
              <w:jc w:val="left"/>
              <w:rPr>
                <w:kern w:val="0"/>
                <w:lang w:val="ru-RU" w:eastAsia="ru-RU" w:bidi="ar-SA"/>
              </w:rPr>
            </w:pPr>
            <w:r>
              <w:rPr>
                <w:kern w:val="0"/>
                <w:lang w:val="ru-RU" w:eastAsia="ru-RU" w:bidi="ar-SA"/>
              </w:rPr>
            </w:r>
          </w:p>
        </w:tc>
        <w:tc>
          <w:tcPr>
            <w:tcW w:w="4809" w:type="dxa"/>
            <w:gridSpan w:val="2"/>
            <w:tcBorders/>
            <w:vAlign w:val="bottom"/>
          </w:tcPr>
          <w:p>
            <w:pPr>
              <w:pStyle w:val="Normal"/>
              <w:widowControl w:val="false"/>
              <w:spacing w:before="0" w:after="0"/>
              <w:jc w:val="left"/>
              <w:rPr>
                <w:kern w:val="0"/>
                <w:lang w:val="ru-RU" w:eastAsia="ru-RU" w:bidi="ar-SA"/>
              </w:rPr>
            </w:pPr>
            <w:r>
              <w:rPr>
                <w:kern w:val="0"/>
                <w:lang w:val="ru-RU" w:eastAsia="ru-RU" w:bidi="ar-SA"/>
              </w:rPr>
            </w:r>
          </w:p>
        </w:tc>
        <w:tc>
          <w:tcPr>
            <w:tcW w:w="4260" w:type="dxa"/>
            <w:tcBorders/>
            <w:vAlign w:val="bottom"/>
          </w:tcPr>
          <w:p>
            <w:pPr>
              <w:pStyle w:val="Normal"/>
              <w:widowControl w:val="false"/>
              <w:spacing w:before="0" w:after="0"/>
              <w:jc w:val="left"/>
              <w:rPr>
                <w:kern w:val="0"/>
                <w:lang w:val="ru-RU" w:eastAsia="ru-RU" w:bidi="ar-SA"/>
              </w:rPr>
            </w:pPr>
            <w:r>
              <w:rPr>
                <w:kern w:val="0"/>
                <w:lang w:val="ru-RU" w:eastAsia="ru-RU" w:bidi="ar-SA"/>
              </w:rPr>
            </w:r>
          </w:p>
        </w:tc>
      </w:tr>
      <w:tr>
        <w:trPr>
          <w:trHeight w:val="101" w:hRule="atLeast"/>
        </w:trPr>
        <w:tc>
          <w:tcPr>
            <w:tcW w:w="4809" w:type="dxa"/>
            <w:gridSpan w:val="2"/>
            <w:tcBorders/>
            <w:vAlign w:val="bottom"/>
          </w:tcPr>
          <w:p>
            <w:pPr>
              <w:pStyle w:val="Normal"/>
              <w:widowControl w:val="false"/>
              <w:spacing w:before="0" w:after="0"/>
              <w:jc w:val="left"/>
              <w:rPr>
                <w:kern w:val="0"/>
                <w:lang w:val="ru-RU" w:eastAsia="ru-RU" w:bidi="ar-SA"/>
              </w:rPr>
            </w:pPr>
            <w:r>
              <w:rPr>
                <w:kern w:val="0"/>
                <w:lang w:val="ru-RU" w:eastAsia="ru-RU" w:bidi="ar-SA"/>
              </w:rPr>
            </w:r>
          </w:p>
        </w:tc>
        <w:tc>
          <w:tcPr>
            <w:tcW w:w="4260" w:type="dxa"/>
            <w:gridSpan w:val="2"/>
            <w:tcBorders/>
            <w:vAlign w:val="bottom"/>
          </w:tcPr>
          <w:p>
            <w:pPr>
              <w:pStyle w:val="Normal"/>
              <w:widowControl w:val="false"/>
              <w:spacing w:before="0" w:after="0"/>
              <w:jc w:val="left"/>
              <w:rPr>
                <w:kern w:val="0"/>
                <w:lang w:val="ru-RU" w:eastAsia="ru-RU" w:bidi="ar-SA"/>
              </w:rPr>
            </w:pPr>
            <w:r>
              <w:rPr>
                <w:kern w:val="0"/>
                <w:lang w:val="ru-RU" w:eastAsia="ru-RU" w:bidi="ar-SA"/>
              </w:rPr>
            </w:r>
          </w:p>
        </w:tc>
        <w:tc>
          <w:tcPr>
            <w:tcW w:w="1836" w:type="dxa"/>
            <w:tcBorders/>
            <w:tcMar>
              <w:left w:w="108" w:type="dxa"/>
              <w:right w:w="108" w:type="dxa"/>
            </w:tcMar>
          </w:tcPr>
          <w:p>
            <w:pPr>
              <w:pStyle w:val="Normal"/>
              <w:widowControl w:val="false"/>
              <w:spacing w:before="0" w:after="0"/>
              <w:jc w:val="left"/>
              <w:rPr>
                <w:kern w:val="0"/>
                <w:lang w:val="ru-RU" w:eastAsia="ru-RU" w:bidi="ar-SA"/>
              </w:rPr>
            </w:pPr>
            <w:r>
              <w:rPr>
                <w:kern w:val="0"/>
                <w:lang w:val="ru-RU" w:eastAsia="ru-RU" w:bidi="ar-SA"/>
              </w:rPr>
            </w:r>
          </w:p>
        </w:tc>
        <w:tc>
          <w:tcPr>
            <w:tcW w:w="4260" w:type="dxa"/>
            <w:tcBorders/>
            <w:tcMar>
              <w:left w:w="108" w:type="dxa"/>
              <w:right w:w="108" w:type="dxa"/>
            </w:tcMar>
          </w:tcPr>
          <w:p>
            <w:pPr>
              <w:pStyle w:val="Normal"/>
              <w:widowControl w:val="false"/>
              <w:spacing w:before="0" w:after="0"/>
              <w:jc w:val="left"/>
              <w:rPr>
                <w:kern w:val="0"/>
                <w:lang w:val="ru-RU" w:eastAsia="ru-RU" w:bidi="ar-SA"/>
              </w:rPr>
            </w:pPr>
            <w:r>
              <w:rPr>
                <w:kern w:val="0"/>
                <w:lang w:val="ru-RU" w:eastAsia="ru-RU" w:bidi="ar-SA"/>
              </w:rPr>
            </w:r>
          </w:p>
        </w:tc>
      </w:tr>
      <w:tr>
        <w:trPr>
          <w:trHeight w:val="780" w:hRule="atLeast"/>
        </w:trPr>
        <w:tc>
          <w:tcPr>
            <w:tcW w:w="57" w:type="dxa"/>
            <w:tcBorders/>
            <w:vAlign w:val="bottom"/>
          </w:tcPr>
          <w:p>
            <w:pPr>
              <w:pStyle w:val="Normal"/>
              <w:widowControl w:val="false"/>
              <w:spacing w:before="0" w:after="0"/>
              <w:jc w:val="left"/>
              <w:rPr>
                <w:kern w:val="0"/>
                <w:lang w:val="ru-RU" w:eastAsia="ru-RU" w:bidi="ar-SA"/>
              </w:rPr>
            </w:pPr>
            <w:r>
              <w:rPr>
                <w:kern w:val="0"/>
                <w:lang w:val="ru-RU" w:eastAsia="ru-RU" w:bidi="ar-SA"/>
              </w:rPr>
            </w:r>
          </w:p>
        </w:tc>
        <w:tc>
          <w:tcPr>
            <w:tcW w:w="4752" w:type="dxa"/>
            <w:tcBorders/>
            <w:tcMar>
              <w:left w:w="108" w:type="dxa"/>
              <w:right w:w="108" w:type="dxa"/>
            </w:tcMar>
          </w:tcPr>
          <w:p>
            <w:pPr>
              <w:pStyle w:val="Normal"/>
              <w:widowControl w:val="false"/>
              <w:spacing w:before="0" w:after="0"/>
              <w:jc w:val="left"/>
              <w:rPr>
                <w:kern w:val="0"/>
                <w:lang w:val="ru-RU" w:eastAsia="ru-RU" w:bidi="ar-SA"/>
              </w:rPr>
            </w:pPr>
            <w:r>
              <w:rPr>
                <w:kern w:val="0"/>
                <w:lang w:val="ru-RU" w:eastAsia="ru-RU" w:bidi="ar-SA"/>
              </w:rPr>
            </w:r>
          </w:p>
        </w:tc>
        <w:tc>
          <w:tcPr>
            <w:tcW w:w="1287" w:type="dxa"/>
            <w:tcBorders/>
            <w:tcMar>
              <w:left w:w="108" w:type="dxa"/>
              <w:right w:w="108" w:type="dxa"/>
            </w:tcMar>
          </w:tcPr>
          <w:p>
            <w:pPr>
              <w:pStyle w:val="Normal"/>
              <w:widowControl w:val="false"/>
              <w:spacing w:before="0" w:after="0"/>
              <w:jc w:val="left"/>
              <w:rPr>
                <w:kern w:val="0"/>
                <w:lang w:val="ru-RU" w:eastAsia="ru-RU" w:bidi="ar-SA"/>
              </w:rPr>
            </w:pPr>
            <w:r>
              <w:rPr>
                <w:kern w:val="0"/>
                <w:lang w:val="ru-RU" w:eastAsia="ru-RU" w:bidi="ar-SA"/>
              </w:rPr>
            </w:r>
          </w:p>
        </w:tc>
        <w:tc>
          <w:tcPr>
            <w:tcW w:w="2973" w:type="dxa"/>
            <w:tcBorders/>
            <w:tcMar>
              <w:left w:w="108" w:type="dxa"/>
              <w:right w:w="108" w:type="dxa"/>
            </w:tcMar>
          </w:tcPr>
          <w:p>
            <w:pPr>
              <w:pStyle w:val="Normal"/>
              <w:widowControl w:val="false"/>
              <w:spacing w:before="0" w:after="0"/>
              <w:jc w:val="left"/>
              <w:rPr>
                <w:kern w:val="0"/>
                <w:lang w:val="ru-RU" w:eastAsia="ru-RU" w:bidi="ar-SA"/>
              </w:rPr>
            </w:pPr>
            <w:r>
              <w:rPr>
                <w:kern w:val="0"/>
                <w:lang w:val="ru-RU" w:eastAsia="ru-RU" w:bidi="ar-SA"/>
              </w:rPr>
            </w:r>
          </w:p>
        </w:tc>
        <w:tc>
          <w:tcPr>
            <w:tcW w:w="1836" w:type="dxa"/>
            <w:tcBorders/>
            <w:tcMar>
              <w:left w:w="108" w:type="dxa"/>
              <w:right w:w="108" w:type="dxa"/>
            </w:tcMar>
          </w:tcPr>
          <w:p>
            <w:pPr>
              <w:pStyle w:val="Normal"/>
              <w:widowControl w:val="false"/>
              <w:spacing w:before="0" w:after="0"/>
              <w:jc w:val="left"/>
              <w:rPr>
                <w:kern w:val="0"/>
                <w:lang w:val="ru-RU" w:eastAsia="ru-RU" w:bidi="ar-SA"/>
              </w:rPr>
            </w:pPr>
            <w:r>
              <w:rPr>
                <w:kern w:val="0"/>
                <w:lang w:val="ru-RU" w:eastAsia="ru-RU" w:bidi="ar-SA"/>
              </w:rPr>
            </w:r>
          </w:p>
        </w:tc>
        <w:tc>
          <w:tcPr>
            <w:tcW w:w="4260" w:type="dxa"/>
            <w:tcBorders/>
            <w:tcMar>
              <w:left w:w="108" w:type="dxa"/>
              <w:right w:w="108" w:type="dxa"/>
            </w:tcMar>
          </w:tcPr>
          <w:p>
            <w:pPr>
              <w:pStyle w:val="Normal"/>
              <w:widowControl w:val="false"/>
              <w:spacing w:before="0" w:after="0"/>
              <w:jc w:val="left"/>
              <w:rPr>
                <w:kern w:val="0"/>
                <w:lang w:val="ru-RU" w:eastAsia="ru-RU" w:bidi="ar-SA"/>
              </w:rPr>
            </w:pPr>
            <w:r>
              <w:rPr>
                <w:kern w:val="0"/>
                <w:lang w:val="ru-RU" w:eastAsia="ru-RU" w:bidi="ar-SA"/>
              </w:rPr>
            </w:r>
          </w:p>
        </w:tc>
      </w:tr>
    </w:tbl>
    <w:p>
      <w:pPr>
        <w:pStyle w:val="Normal"/>
        <w:rPr>
          <w:color w:val="000000" w:themeColor="text1"/>
        </w:rPr>
      </w:pPr>
      <w:r>
        <w:rPr/>
      </w:r>
    </w:p>
    <w:sectPr>
      <w:headerReference w:type="even" r:id="rId3"/>
      <w:headerReference w:type="default" r:id="rId4"/>
      <w:headerReference w:type="first" r:id="rId5"/>
      <w:type w:val="nextPage"/>
      <w:pgSz w:orient="landscape" w:w="16838" w:h="11906"/>
      <w:pgMar w:left="709" w:right="851" w:gutter="0" w:header="680" w:top="1134" w:footer="0" w:bottom="851"/>
      <w:pgNumType w:fmt="decimal"/>
      <w:formProt w:val="false"/>
      <w:titlePg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Carlito">
    <w:altName w:val="Calibri"/>
    <w:charset w:val="01"/>
    <w:family w:val="roman"/>
    <w:pitch w:val="variable"/>
  </w:font>
  <w:font w:name="Times New Roman">
    <w:charset w:val="01"/>
    <w:family w:val="roman"/>
    <w:pitch w:val="variable"/>
  </w:font>
  <w:font w:name="Cambria">
    <w:charset w:val="01"/>
    <w:family w:val="roman"/>
    <w:pitch w:val="variable"/>
  </w:font>
  <w:font w:name="Arial">
    <w:charset w:val="01"/>
    <w:family w:val="roman"/>
    <w:pitch w:val="variable"/>
  </w:font>
  <w:font w:name="Calibri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Tahoma">
    <w:charset w:val="01"/>
    <w:family w:val="roman"/>
    <w:pitch w:val="variable"/>
  </w:font>
  <w:font w:name="Arial Unicode MS">
    <w:charset w:val="01"/>
    <w:family w:val="roman"/>
    <w:pitch w:val="variable"/>
  </w:font>
  <w:font w:name="Verdana">
    <w:charset w:val="01"/>
    <w:family w:val="roman"/>
    <w:pitch w:val="variable"/>
  </w:font>
  <w:font w:name="Garamond">
    <w:charset w:val="01"/>
    <w:family w:val="roman"/>
    <w:pitch w:val="variable"/>
  </w:font>
  <w:font w:name="Courier New">
    <w:charset w:val="01"/>
    <w:family w:val="roman"/>
    <w:pitch w:val="variable"/>
  </w:font>
  <w:font w:name="Liberation Mono">
    <w:altName w:val="Courier New"/>
    <w:charset w:val="01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default"/>
  </w:font>
  <w:font w:name="Symbol">
    <w:charset w:val="02"/>
    <w:family w:val="auto"/>
    <w:pitch w:val="default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  <mc:AlternateContent>
        <mc:Choice Requires="wps">
          <w:drawing>
            <wp:anchor behindDoc="1" distT="0" distB="0" distL="0" distR="0" simplePos="0" locked="0" layoutInCell="0" allowOverlap="1" relativeHeight="2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1" name="Врезка1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760" cy="147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Header"/>
                            <w:rPr>
                              <w:rStyle w:val="Pagenumber"/>
                            </w:rPr>
                          </w:pPr>
                          <w:r>
                            <w:rPr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color w:val="000000"/>
                            </w:rPr>
                            <w:t>0</w:t>
                          </w:r>
                          <w:r>
                            <w:rPr>
                              <w:color w:val="000000"/>
                            </w:rPr>
                            <w:fldChar w:fldCharType="end"/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t>0</w:t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rIns="0" t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Врезка1" path="m0,0l-2147483645,0l-2147483645,-2147483646l0,-2147483646xe" stroked="f" o:allowincell="f" style="position:absolute;margin-left:0pt;margin-top:0.05pt;width:1.1pt;height:1.1pt;mso-wrap-style:square;v-text-anchor:top;mso-position-horizontal:center;mso-position-horizontal-relative:margin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Header"/>
                      <w:rPr>
                        <w:rStyle w:val="Pagenumber"/>
                      </w:rPr>
                    </w:pPr>
                    <w:r>
                      <w:rPr>
                        <w:color w:val="000000"/>
                      </w:rPr>
                      <w:fldChar w:fldCharType="begin"/>
                    </w:r>
                    <w:r>
                      <w:rPr>
                        <w:color w:val="000000"/>
                      </w:rPr>
                      <w:instrText xml:space="preserve"> PAGE </w:instrText>
                    </w:r>
                    <w:r>
                      <w:rPr>
                        <w:color w:val="000000"/>
                      </w:rPr>
                      <w:fldChar w:fldCharType="separate"/>
                    </w:r>
                    <w:r>
                      <w:rPr>
                        <w:color w:val="000000"/>
                      </w:rPr>
                      <w:t>0</w:t>
                    </w:r>
                    <w:r>
                      <w:rPr>
                        <w:color w:val="000000"/>
                      </w:rPr>
                      <w:fldChar w:fldCharType="end"/>
                    </w:r>
                    <w:r>
                      <w:rPr>
                        <w:rStyle w:val="Pagenumber"/>
                        <w:color w:val="000000"/>
                      </w:rPr>
                      <w:fldChar w:fldCharType="begin"/>
                    </w:r>
                    <w:r>
                      <w:rPr>
                        <w:rStyle w:val="Pagenumber"/>
                        <w:color w:val="000000"/>
                      </w:rPr>
                      <w:instrText xml:space="preserve"> PAGE </w:instrText>
                    </w:r>
                    <w:r>
                      <w:rPr>
                        <w:rStyle w:val="Pagenumber"/>
                        <w:color w:val="000000"/>
                      </w:rPr>
                      <w:fldChar w:fldCharType="separate"/>
                    </w:r>
                    <w:r>
                      <w:rPr>
                        <w:rStyle w:val="Pagenumber"/>
                        <w:color w:val="000000"/>
                      </w:rPr>
                      <w:t>0</w:t>
                    </w:r>
                    <w:r>
                      <w:rPr>
                        <w:rStyle w:val="Pagenumber"/>
                        <w:color w:val="000000"/>
                      </w:rPr>
                      <w:fldChar w:fldCharType="end"/>
                    </w:r>
                  </w:p>
                </w:txbxContent>
              </v:textbox>
              <w10:wrap type="square"/>
            </v:rect>
          </w:pict>
        </mc:Fallback>
      </mc:AlternateContent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7</w:t>
    </w:r>
    <w:r>
      <w:rPr/>
      <w:fldChar w:fldCharType="end"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/>
    </w:lvl>
    <w:lvl w:ilvl="1">
      <w:start w:val="1"/>
      <w:numFmt w:val="decimal"/>
      <w:lvlText w:val="%1.%2."/>
      <w:lvlJc w:val="left"/>
      <w:pPr>
        <w:tabs>
          <w:tab w:val="num" w:pos="357"/>
        </w:tabs>
        <w:ind w:left="0" w:hanging="0"/>
      </w:pPr>
      <w:rPr/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0" w:hanging="0"/>
      </w:pPr>
      <w:rPr/>
    </w:lvl>
    <w:lvl w:ilvl="3">
      <w:start w:val="1"/>
      <w:numFmt w:val="decimal"/>
      <w:lvlText w:val="%1.%2.%3.%4."/>
      <w:lvlJc w:val="left"/>
      <w:pPr>
        <w:tabs>
          <w:tab w:val="num" w:pos="357"/>
        </w:tabs>
        <w:ind w:left="0" w:hanging="0"/>
      </w:pPr>
      <w:rPr/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0" w:hanging="0"/>
      </w:pPr>
      <w:rPr/>
    </w:lvl>
    <w:lvl w:ilvl="5">
      <w:start w:val="1"/>
      <w:numFmt w:val="decimal"/>
      <w:lvlText w:val="%1.%2.%3.%4.%5.%6."/>
      <w:lvlJc w:val="left"/>
      <w:pPr>
        <w:tabs>
          <w:tab w:val="num" w:pos="357"/>
        </w:tabs>
        <w:ind w:left="0" w:hanging="0"/>
      </w:pPr>
      <w:rPr/>
    </w:lvl>
    <w:lvl w:ilvl="6">
      <w:start w:val="1"/>
      <w:numFmt w:val="decimal"/>
      <w:lvlText w:val="%1.%2.%3.%4.%5.%6.%7."/>
      <w:lvlJc w:val="left"/>
      <w:pPr>
        <w:tabs>
          <w:tab w:val="num" w:pos="357"/>
        </w:tabs>
        <w:ind w:left="0" w:hanging="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357"/>
        </w:tabs>
        <w:ind w:left="0" w:hanging="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357"/>
        </w:tabs>
        <w:ind w:left="0" w:hanging="0"/>
      </w:pPr>
      <w:rPr/>
    </w:lvl>
  </w:abstractNum>
  <w:abstractNum w:abstractNumId="2">
    <w:lvl w:ilvl="0">
      <w:start w:val="4"/>
      <w:numFmt w:val="bullet"/>
      <w:lvlText w:val="-"/>
      <w:lvlJc w:val="left"/>
      <w:pPr>
        <w:tabs>
          <w:tab w:val="num" w:pos="0"/>
        </w:tabs>
        <w:ind w:left="-207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513"/>
        </w:tabs>
        <w:ind w:left="51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233"/>
        </w:tabs>
        <w:ind w:left="1233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1953"/>
        </w:tabs>
        <w:ind w:left="1953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2673"/>
        </w:tabs>
        <w:ind w:left="267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393"/>
        </w:tabs>
        <w:ind w:left="3393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4113"/>
        </w:tabs>
        <w:ind w:left="4113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4833"/>
        </w:tabs>
        <w:ind w:left="483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553"/>
        </w:tabs>
        <w:ind w:left="5553" w:hanging="360"/>
      </w:pPr>
      <w:rPr>
        <w:rFonts w:ascii="Wingdings" w:hAnsi="Wingdings" w:cs="Wingdings" w:hint="default"/>
      </w:rPr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0"/>
        </w:tabs>
        <w:ind w:left="5038" w:hanging="360"/>
      </w:pPr>
      <w:rPr>
        <w:smallCaps w:val="false"/>
        <w:caps w:val="false"/>
        <w:dstrike w:val="false"/>
        <w:strike w:val="false"/>
        <w:vertAlign w:val="baseline"/>
        <w:position w:val="0"/>
        <w:sz w:val="28"/>
        <w:sz w:val="28"/>
        <w:spacing w:val="0"/>
        <w:i w:val="false"/>
        <w:u w:val="none"/>
        <w:b/>
        <w:szCs w:val="28"/>
        <w:iCs w:val="false"/>
        <w:bCs w:val="false"/>
        <w:vanish w:val="false"/>
        <w:rFonts w:ascii="Times New Roman" w:hAnsi="Times New Roman" w:cs="Times New Roman"/>
        <w:color w:val="00000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432" w:hanging="432"/>
      </w:pPr>
      <w:rPr>
        <w:sz w:val="24"/>
        <w:i w:val="false"/>
        <w:b/>
        <w:szCs w:val="24"/>
        <w:iCs/>
        <w:b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0"/>
        </w:tabs>
        <w:ind w:left="1134" w:hanging="1134"/>
      </w:pPr>
      <w:rPr/>
    </w:lvl>
    <w:lvl w:ilvl="1">
      <w:start w:val="1"/>
      <w:numFmt w:val="decimal"/>
      <w:lvlText w:val="%1.%2."/>
      <w:lvlJc w:val="left"/>
      <w:pPr>
        <w:tabs>
          <w:tab w:val="num" w:pos="0"/>
        </w:tabs>
        <w:ind w:left="1134" w:hanging="1134"/>
      </w:pPr>
      <w:rPr/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134" w:hanging="1134"/>
      </w:pPr>
      <w:rPr/>
    </w:lvl>
    <w:lvl w:ilvl="3">
      <w:start w:val="1"/>
      <w:numFmt w:val="russianLower"/>
      <w:lvlText w:val="(%4)"/>
      <w:lvlJc w:val="left"/>
      <w:pPr>
        <w:tabs>
          <w:tab w:val="num" w:pos="0"/>
        </w:tabs>
        <w:ind w:left="1985" w:hanging="567"/>
      </w:pPr>
      <w:rPr/>
    </w:lvl>
    <w:lvl w:ilvl="4">
      <w:start w:val="1"/>
      <w:numFmt w:val="bullet"/>
      <w:lvlText w:val="–"/>
      <w:lvlJc w:val="left"/>
      <w:pPr>
        <w:tabs>
          <w:tab w:val="num" w:pos="0"/>
        </w:tabs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34" w:hanging="0"/>
      </w:pPr>
      <w:rPr/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701" w:hanging="0"/>
      </w:pPr>
      <w:rPr/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134" w:hanging="0"/>
      </w:pPr>
      <w:rPr/>
    </w:lvl>
  </w:abstractNum>
  <w:abstractNum w:abstractNumId="5">
    <w:lvl w:ilvl="0">
      <w:start w:val="1"/>
      <w:numFmt w:val="decimal"/>
      <w:lvlText w:val="1.%1"/>
      <w:lvlJc w:val="left"/>
      <w:pPr>
        <w:tabs>
          <w:tab w:val="num" w:pos="0"/>
        </w:tabs>
        <w:ind w:left="1429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  <w:rPr/>
    </w:lvl>
  </w:abstractNum>
  <w:abstractNum w:abstractNumId="6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/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/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7">
    <w:lvl w:ilvl="0">
      <w:start w:val="1"/>
      <w:numFmt w:val="decimal"/>
      <w:lvlText w:val="%1)"/>
      <w:lvlJc w:val="left"/>
      <w:pPr>
        <w:tabs>
          <w:tab w:val="num" w:pos="312"/>
        </w:tabs>
        <w:ind w:left="0" w:hanging="0"/>
      </w:pPr>
      <w:rPr/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8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</w:numbering>
</file>

<file path=word/settings.xml><?xml version="1.0" encoding="utf-8"?>
<w:settings xmlns:w="http://schemas.openxmlformats.org/wordprocessingml/2006/main">
  <w:zoom w:percent="151"/>
  <w:defaultTabStop w:val="709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 w:eastAsia="zh-CN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Noto Serif CJK SC" w:cs="Arial Unicode MS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Noto Serif CJK SC" w:cs="Arial Unicode MS"/>
      <w:color w:val="auto"/>
      <w:kern w:val="0"/>
      <w:sz w:val="28"/>
      <w:szCs w:val="28"/>
      <w:lang w:val="ru-RU" w:eastAsia="ru-RU" w:bidi="ar-SA"/>
    </w:rPr>
  </w:style>
  <w:style w:type="paragraph" w:styleId="Heading1">
    <w:name w:val="Heading 1"/>
    <w:basedOn w:val="Heading3"/>
    <w:qFormat/>
    <w:pPr>
      <w:numPr>
        <w:ilvl w:val="0"/>
      </w:numPr>
      <w:outlineLvl w:val="0"/>
    </w:pPr>
    <w:rPr>
      <w:sz w:val="28"/>
      <w:szCs w:val="28"/>
    </w:rPr>
  </w:style>
  <w:style w:type="paragraph" w:styleId="Heading2">
    <w:name w:val="Heading 2"/>
    <w:basedOn w:val="Heading4"/>
    <w:qFormat/>
    <w:pPr>
      <w:outlineLvl w:val="1"/>
    </w:pPr>
    <w:rPr/>
  </w:style>
  <w:style w:type="paragraph" w:styleId="Heading3">
    <w:name w:val="Heading 3"/>
    <w:basedOn w:val="Normal"/>
    <w:qFormat/>
    <w:pPr>
      <w:keepNext w:val="true"/>
      <w:numPr>
        <w:ilvl w:val="2"/>
        <w:numId w:val="3"/>
      </w:numPr>
      <w:spacing w:before="120" w:after="60"/>
      <w:outlineLvl w:val="2"/>
    </w:pPr>
    <w:rPr>
      <w:rFonts w:eastAsia="Calibri"/>
      <w:b/>
      <w:sz w:val="24"/>
      <w:szCs w:val="24"/>
    </w:rPr>
  </w:style>
  <w:style w:type="paragraph" w:styleId="Heading4">
    <w:name w:val="Heading 4"/>
    <w:basedOn w:val="Heading3"/>
    <w:qFormat/>
    <w:pPr>
      <w:numPr>
        <w:ilvl w:val="1"/>
      </w:numPr>
      <w:outlineLvl w:val="3"/>
    </w:pPr>
    <w:rPr>
      <w:bCs/>
    </w:rPr>
  </w:style>
  <w:style w:type="paragraph" w:styleId="Heading5">
    <w:name w:val="Heading 5"/>
    <w:basedOn w:val="Normal"/>
    <w:uiPriority w:val="9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uiPriority w:val="9"/>
    <w:qFormat/>
    <w:pPr>
      <w:keepNext w:val="true"/>
      <w:keepLines/>
      <w:spacing w:before="200" w:after="0"/>
      <w:outlineLvl w:val="5"/>
    </w:pPr>
    <w:rPr>
      <w:rFonts w:ascii="Cambria" w:hAnsi="Cambria"/>
      <w:i/>
      <w:iCs/>
      <w:color w:val="243F60"/>
      <w:sz w:val="20"/>
      <w:szCs w:val="20"/>
    </w:rPr>
  </w:style>
  <w:style w:type="paragraph" w:styleId="Heading7">
    <w:name w:val="Heading 7"/>
    <w:basedOn w:val="Normal"/>
    <w:uiPriority w:val="9"/>
    <w:qFormat/>
    <w:pPr>
      <w:keepNext w:val="true"/>
      <w:keepLines/>
      <w:spacing w:before="200" w:after="0"/>
      <w:outlineLvl w:val="6"/>
    </w:pPr>
    <w:rPr>
      <w:rFonts w:ascii="Cambria" w:hAnsi="Cambria"/>
      <w:i/>
      <w:iCs/>
      <w:color w:val="404040"/>
      <w:sz w:val="20"/>
      <w:szCs w:val="20"/>
    </w:rPr>
  </w:style>
  <w:style w:type="paragraph" w:styleId="Heading8">
    <w:name w:val="Heading 8"/>
    <w:basedOn w:val="Normal"/>
    <w:uiPriority w:val="9"/>
    <w:qFormat/>
    <w:pPr>
      <w:keepNext w:val="true"/>
      <w:keepLines/>
      <w:spacing w:before="200" w:after="0"/>
      <w:outlineLvl w:val="7"/>
    </w:pPr>
    <w:rPr>
      <w:rFonts w:ascii="Cambria" w:hAnsi="Cambria"/>
      <w:color w:val="4F81BD"/>
      <w:sz w:val="20"/>
      <w:szCs w:val="20"/>
    </w:rPr>
  </w:style>
  <w:style w:type="paragraph" w:styleId="Heading9">
    <w:name w:val="Heading 9"/>
    <w:basedOn w:val="Normal"/>
    <w:uiPriority w:val="9"/>
    <w:qFormat/>
    <w:pPr>
      <w:spacing w:before="240" w:after="60"/>
      <w:outlineLvl w:val="8"/>
    </w:pPr>
    <w:rPr>
      <w:rFonts w:ascii="Arial" w:hAnsi="Arial"/>
      <w:sz w:val="22"/>
      <w:szCs w:val="22"/>
    </w:rPr>
  </w:style>
  <w:style w:type="character" w:styleId="Heading1Char">
    <w:name w:val="Heading 1 Char"/>
    <w:basedOn w:val="DefaultParagraphFont"/>
    <w:uiPriority w:val="9"/>
    <w:qFormat/>
    <w:rPr>
      <w:rFonts w:ascii="Arial" w:hAnsi="Arial" w:eastAsia="Arial" w:cs="Arial"/>
      <w:sz w:val="40"/>
      <w:szCs w:val="40"/>
    </w:rPr>
  </w:style>
  <w:style w:type="character" w:styleId="Heading2Char">
    <w:name w:val="Heading 2 Char"/>
    <w:basedOn w:val="DefaultParagraphFont"/>
    <w:uiPriority w:val="9"/>
    <w:qFormat/>
    <w:rPr>
      <w:rFonts w:ascii="Arial" w:hAnsi="Arial" w:eastAsia="Arial" w:cs="Arial"/>
      <w:sz w:val="34"/>
    </w:rPr>
  </w:style>
  <w:style w:type="character" w:styleId="Heading3Char">
    <w:name w:val="Heading 3 Char"/>
    <w:basedOn w:val="DefaultParagraphFont"/>
    <w:uiPriority w:val="9"/>
    <w:qFormat/>
    <w:rPr>
      <w:rFonts w:ascii="Arial" w:hAnsi="Arial" w:eastAsia="Arial" w:cs="Arial"/>
      <w:sz w:val="30"/>
      <w:szCs w:val="30"/>
    </w:rPr>
  </w:style>
  <w:style w:type="character" w:styleId="Heading4Char">
    <w:name w:val="Heading 4 Char"/>
    <w:basedOn w:val="DefaultParagraphFont"/>
    <w:uiPriority w:val="9"/>
    <w:qFormat/>
    <w:rPr>
      <w:rFonts w:ascii="Arial" w:hAnsi="Arial" w:eastAsia="Arial" w:cs="Arial"/>
      <w:b/>
      <w:bCs/>
      <w:sz w:val="26"/>
      <w:szCs w:val="26"/>
    </w:rPr>
  </w:style>
  <w:style w:type="character" w:styleId="Heading5Char">
    <w:name w:val="Heading 5 Char"/>
    <w:basedOn w:val="DefaultParagraphFont"/>
    <w:uiPriority w:val="9"/>
    <w:qFormat/>
    <w:rPr>
      <w:rFonts w:ascii="Arial" w:hAnsi="Arial" w:eastAsia="Arial" w:cs="Arial"/>
      <w:b/>
      <w:bCs/>
      <w:sz w:val="24"/>
      <w:szCs w:val="24"/>
    </w:rPr>
  </w:style>
  <w:style w:type="character" w:styleId="Heading6Char">
    <w:name w:val="Heading 6 Char"/>
    <w:basedOn w:val="DefaultParagraphFont"/>
    <w:uiPriority w:val="9"/>
    <w:qFormat/>
    <w:rPr>
      <w:rFonts w:ascii="Arial" w:hAnsi="Arial" w:eastAsia="Arial" w:cs="Arial"/>
      <w:b/>
      <w:bCs/>
      <w:sz w:val="22"/>
      <w:szCs w:val="22"/>
    </w:rPr>
  </w:style>
  <w:style w:type="character" w:styleId="Heading7Char">
    <w:name w:val="Heading 7 Char"/>
    <w:basedOn w:val="DefaultParagraphFont"/>
    <w:uiPriority w:val="9"/>
    <w:qFormat/>
    <w:rPr>
      <w:rFonts w:ascii="Arial" w:hAnsi="Arial" w:eastAsia="Arial" w:cs="Arial"/>
      <w:b/>
      <w:bCs/>
      <w:i/>
      <w:iCs/>
      <w:sz w:val="22"/>
      <w:szCs w:val="22"/>
    </w:rPr>
  </w:style>
  <w:style w:type="character" w:styleId="Heading8Char">
    <w:name w:val="Heading 8 Char"/>
    <w:basedOn w:val="DefaultParagraphFont"/>
    <w:uiPriority w:val="9"/>
    <w:qFormat/>
    <w:rPr>
      <w:rFonts w:ascii="Arial" w:hAnsi="Arial" w:eastAsia="Arial" w:cs="Arial"/>
      <w:i/>
      <w:iCs/>
      <w:sz w:val="22"/>
      <w:szCs w:val="22"/>
    </w:rPr>
  </w:style>
  <w:style w:type="character" w:styleId="Heading9Char">
    <w:name w:val="Heading 9 Char"/>
    <w:basedOn w:val="DefaultParagraphFont"/>
    <w:uiPriority w:val="9"/>
    <w:qFormat/>
    <w:rPr>
      <w:rFonts w:ascii="Arial" w:hAnsi="Arial" w:eastAsia="Arial" w:cs="Arial"/>
      <w:i/>
      <w:iCs/>
      <w:sz w:val="21"/>
      <w:szCs w:val="21"/>
    </w:rPr>
  </w:style>
  <w:style w:type="character" w:styleId="TitleChar">
    <w:name w:val="Title Char"/>
    <w:basedOn w:val="DefaultParagraphFont"/>
    <w:uiPriority w:val="10"/>
    <w:qFormat/>
    <w:rPr>
      <w:sz w:val="48"/>
      <w:szCs w:val="48"/>
    </w:rPr>
  </w:style>
  <w:style w:type="character" w:styleId="SubtitleChar">
    <w:name w:val="Subtitle Char"/>
    <w:basedOn w:val="DefaultParagraphFont"/>
    <w:uiPriority w:val="11"/>
    <w:qFormat/>
    <w:rPr>
      <w:sz w:val="24"/>
      <w:szCs w:val="24"/>
    </w:rPr>
  </w:style>
  <w:style w:type="character" w:styleId="QuoteChar">
    <w:name w:val="Quote Char"/>
    <w:uiPriority w:val="29"/>
    <w:qFormat/>
    <w:rPr>
      <w:i/>
    </w:rPr>
  </w:style>
  <w:style w:type="character" w:styleId="IntenseQuoteChar">
    <w:name w:val="Intense Quote Char"/>
    <w:uiPriority w:val="30"/>
    <w:qFormat/>
    <w:rPr>
      <w:i/>
    </w:rPr>
  </w:style>
  <w:style w:type="character" w:styleId="HeaderChar">
    <w:name w:val="Header Char"/>
    <w:basedOn w:val="DefaultParagraphFont"/>
    <w:uiPriority w:val="99"/>
    <w:qFormat/>
    <w:rPr/>
  </w:style>
  <w:style w:type="character" w:styleId="FooterChar">
    <w:name w:val="Footer Char"/>
    <w:basedOn w:val="DefaultParagraphFont"/>
    <w:uiPriority w:val="99"/>
    <w:qFormat/>
    <w:rPr/>
  </w:style>
  <w:style w:type="character" w:styleId="CaptionChar">
    <w:name w:val="Caption Char"/>
    <w:uiPriority w:val="99"/>
    <w:qFormat/>
    <w:rPr/>
  </w:style>
  <w:style w:type="character" w:styleId="FootnoteTextChar">
    <w:name w:val="Footnote Text Char"/>
    <w:uiPriority w:val="99"/>
    <w:qFormat/>
    <w:rPr>
      <w:sz w:val="18"/>
    </w:rPr>
  </w:style>
  <w:style w:type="character" w:styleId="EndnoteTextChar">
    <w:name w:val="Endnote Text Char"/>
    <w:uiPriority w:val="99"/>
    <w:qFormat/>
    <w:rPr>
      <w:sz w:val="20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">
    <w:name w:val="Символ сноски"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Pagenumber">
    <w:name w:val="page number"/>
    <w:basedOn w:val="DefaultParagraphFont"/>
    <w:qFormat/>
    <w:rPr/>
  </w:style>
  <w:style w:type="character" w:styleId="Hyperlink">
    <w:name w:val="Hyperlink"/>
    <w:uiPriority w:val="99"/>
    <w:rPr>
      <w:color w:val="0000FF"/>
      <w:u w:val="single"/>
    </w:rPr>
  </w:style>
  <w:style w:type="character" w:styleId="Annotationreference">
    <w:name w:val="annotation reference"/>
    <w:uiPriority w:val="99"/>
    <w:semiHidden/>
    <w:qFormat/>
    <w:rPr>
      <w:sz w:val="16"/>
      <w:szCs w:val="16"/>
    </w:rPr>
  </w:style>
  <w:style w:type="character" w:styleId="Strong">
    <w:name w:val="Strong"/>
    <w:qFormat/>
    <w:rPr>
      <w:b/>
      <w:bCs/>
    </w:rPr>
  </w:style>
  <w:style w:type="character" w:styleId="6" w:customStyle="1">
    <w:name w:val="Заголовок 6 Знак"/>
    <w:uiPriority w:val="9"/>
    <w:qFormat/>
    <w:rPr>
      <w:rFonts w:ascii="Cambria" w:hAnsi="Cambria"/>
      <w:i/>
      <w:iCs/>
      <w:color w:val="243F60"/>
    </w:rPr>
  </w:style>
  <w:style w:type="character" w:styleId="7" w:customStyle="1">
    <w:name w:val="Заголовок 7 Знак"/>
    <w:uiPriority w:val="9"/>
    <w:qFormat/>
    <w:rPr>
      <w:rFonts w:ascii="Cambria" w:hAnsi="Cambria"/>
      <w:i/>
      <w:iCs/>
      <w:color w:val="404040"/>
    </w:rPr>
  </w:style>
  <w:style w:type="character" w:styleId="8" w:customStyle="1">
    <w:name w:val="Заголовок 8 Знак"/>
    <w:uiPriority w:val="9"/>
    <w:qFormat/>
    <w:rPr>
      <w:rFonts w:ascii="Cambria" w:hAnsi="Cambria"/>
      <w:color w:val="4F81BD"/>
    </w:rPr>
  </w:style>
  <w:style w:type="character" w:styleId="1" w:customStyle="1">
    <w:name w:val="Заголовок 1 Знак"/>
    <w:qFormat/>
    <w:rPr>
      <w:rFonts w:eastAsia="Calibri"/>
      <w:b/>
      <w:sz w:val="28"/>
      <w:szCs w:val="28"/>
    </w:rPr>
  </w:style>
  <w:style w:type="character" w:styleId="2" w:customStyle="1">
    <w:name w:val="Заголовок 2 Знак"/>
    <w:qFormat/>
    <w:rPr>
      <w:rFonts w:eastAsia="Calibri"/>
      <w:b/>
      <w:bCs/>
      <w:sz w:val="24"/>
      <w:szCs w:val="24"/>
    </w:rPr>
  </w:style>
  <w:style w:type="character" w:styleId="3" w:customStyle="1">
    <w:name w:val="Заголовок 3 Знак"/>
    <w:qFormat/>
    <w:rPr>
      <w:rFonts w:eastAsia="Calibri"/>
      <w:b/>
      <w:sz w:val="24"/>
      <w:szCs w:val="24"/>
    </w:rPr>
  </w:style>
  <w:style w:type="character" w:styleId="4" w:customStyle="1">
    <w:name w:val="Заголовок 4 Знак"/>
    <w:qFormat/>
    <w:rPr>
      <w:rFonts w:eastAsia="Calibri"/>
      <w:b/>
      <w:bCs/>
      <w:sz w:val="24"/>
      <w:szCs w:val="24"/>
    </w:rPr>
  </w:style>
  <w:style w:type="character" w:styleId="5" w:customStyle="1">
    <w:name w:val="Заголовок 5 Знак"/>
    <w:uiPriority w:val="9"/>
    <w:qFormat/>
    <w:rPr>
      <w:b/>
      <w:bCs/>
      <w:i/>
      <w:iCs/>
      <w:sz w:val="26"/>
      <w:szCs w:val="26"/>
    </w:rPr>
  </w:style>
  <w:style w:type="character" w:styleId="9" w:customStyle="1">
    <w:name w:val="Заголовок 9 Знак"/>
    <w:uiPriority w:val="9"/>
    <w:qFormat/>
    <w:rPr>
      <w:rFonts w:ascii="Arial" w:hAnsi="Arial" w:cs="Arial"/>
      <w:sz w:val="22"/>
      <w:szCs w:val="22"/>
    </w:rPr>
  </w:style>
  <w:style w:type="character" w:styleId="Style1" w:customStyle="1">
    <w:name w:val="Название Знак"/>
    <w:uiPriority w:val="10"/>
    <w:qFormat/>
    <w:rPr>
      <w:sz w:val="28"/>
    </w:rPr>
  </w:style>
  <w:style w:type="character" w:styleId="Style2" w:customStyle="1">
    <w:name w:val="Подзаголовок Знак"/>
    <w:uiPriority w:val="11"/>
    <w:qFormat/>
    <w:rPr>
      <w:rFonts w:ascii="Cambria" w:hAnsi="Cambria"/>
      <w:i/>
      <w:iCs/>
      <w:color w:val="4F81BD"/>
      <w:spacing w:val="15"/>
      <w:sz w:val="24"/>
      <w:szCs w:val="24"/>
    </w:rPr>
  </w:style>
  <w:style w:type="character" w:styleId="Emphasis">
    <w:name w:val="Emphasis"/>
    <w:uiPriority w:val="20"/>
    <w:qFormat/>
    <w:rPr>
      <w:i/>
      <w:iCs/>
    </w:rPr>
  </w:style>
  <w:style w:type="character" w:styleId="21" w:customStyle="1">
    <w:name w:val="Цитата 2 Знак"/>
    <w:uiPriority w:val="29"/>
    <w:qFormat/>
    <w:rPr>
      <w:rFonts w:ascii="Calibri" w:hAnsi="Calibri" w:eastAsia="Calibri"/>
      <w:i/>
      <w:iCs/>
      <w:color w:val="000000"/>
    </w:rPr>
  </w:style>
  <w:style w:type="character" w:styleId="Style3" w:customStyle="1">
    <w:name w:val="Выделенная цитата Знак"/>
    <w:uiPriority w:val="30"/>
    <w:qFormat/>
    <w:rPr>
      <w:rFonts w:ascii="Calibri" w:hAnsi="Calibri" w:eastAsia="Calibri"/>
      <w:b/>
      <w:bCs/>
      <w:i/>
      <w:iCs/>
      <w:color w:val="4F81BD"/>
    </w:rPr>
  </w:style>
  <w:style w:type="character" w:styleId="SubtleEmphasis">
    <w:name w:val="Subtle Emphasis"/>
    <w:uiPriority w:val="19"/>
    <w:qFormat/>
    <w:rPr>
      <w:i/>
      <w:iCs/>
      <w:color w:val="808080"/>
    </w:rPr>
  </w:style>
  <w:style w:type="character" w:styleId="IntenseEmphasis">
    <w:name w:val="Intense Emphasis"/>
    <w:uiPriority w:val="21"/>
    <w:qFormat/>
    <w:rPr>
      <w:b/>
      <w:bCs/>
      <w:i/>
      <w:iCs/>
      <w:color w:val="4F81BD"/>
    </w:rPr>
  </w:style>
  <w:style w:type="character" w:styleId="SubtleReference">
    <w:name w:val="Subtle Reference"/>
    <w:uiPriority w:val="31"/>
    <w:qFormat/>
    <w:rPr>
      <w:smallCaps/>
      <w:color w:val="C0504D"/>
      <w:u w:val="single"/>
    </w:rPr>
  </w:style>
  <w:style w:type="character" w:styleId="IntenseReference">
    <w:name w:val="Intense Reference"/>
    <w:uiPriority w:val="32"/>
    <w:qFormat/>
    <w:rPr>
      <w:b/>
      <w:bCs/>
      <w:smallCaps/>
      <w:color w:val="C0504D"/>
      <w:spacing w:val="5"/>
      <w:u w:val="single"/>
    </w:rPr>
  </w:style>
  <w:style w:type="character" w:styleId="BookTitle">
    <w:name w:val="Book Title"/>
    <w:uiPriority w:val="33"/>
    <w:qFormat/>
    <w:rPr>
      <w:b/>
      <w:bCs/>
      <w:smallCaps/>
      <w:spacing w:val="5"/>
    </w:rPr>
  </w:style>
  <w:style w:type="character" w:styleId="Style4" w:customStyle="1">
    <w:name w:val="Электронная подпись Знак"/>
    <w:uiPriority w:val="99"/>
    <w:qFormat/>
    <w:rPr>
      <w:rFonts w:eastAsia="Calibri"/>
      <w:sz w:val="24"/>
      <w:szCs w:val="24"/>
    </w:rPr>
  </w:style>
  <w:style w:type="character" w:styleId="11" w:customStyle="1">
    <w:name w:val="Подпункт Знак1"/>
    <w:qFormat/>
    <w:rPr>
      <w:sz w:val="28"/>
    </w:rPr>
  </w:style>
  <w:style w:type="character" w:styleId="Style5" w:customStyle="1">
    <w:name w:val="Текст сноски Знак"/>
    <w:uiPriority w:val="99"/>
    <w:qFormat/>
    <w:rPr/>
  </w:style>
  <w:style w:type="character" w:styleId="Style6" w:customStyle="1">
    <w:name w:val="Основной текст Знак"/>
    <w:qFormat/>
    <w:rPr>
      <w:sz w:val="28"/>
      <w:szCs w:val="28"/>
    </w:rPr>
  </w:style>
  <w:style w:type="character" w:styleId="Blk" w:customStyle="1">
    <w:name w:val="blk"/>
    <w:qFormat/>
    <w:rPr/>
  </w:style>
  <w:style w:type="character" w:styleId="Style7" w:customStyle="1">
    <w:name w:val="Абзац списка Знак"/>
    <w:uiPriority w:val="34"/>
    <w:qFormat/>
    <w:rPr>
      <w:rFonts w:eastAsia="Calibri"/>
      <w:sz w:val="24"/>
      <w:szCs w:val="24"/>
    </w:rPr>
  </w:style>
  <w:style w:type="character" w:styleId="Style8" w:customStyle="1">
    <w:name w:val="комментарий"/>
    <w:qFormat/>
    <w:rPr>
      <w:b/>
      <w:i/>
      <w:shd w:fill="FFFF99" w:val="clear"/>
    </w:rPr>
  </w:style>
  <w:style w:type="character" w:styleId="Style9" w:customStyle="1">
    <w:name w:val="Подподпункт Знак"/>
    <w:qFormat/>
    <w:rPr>
      <w:sz w:val="26"/>
      <w:szCs w:val="26"/>
    </w:rPr>
  </w:style>
  <w:style w:type="character" w:styleId="31" w:customStyle="1">
    <w:name w:val="УРОВЕНЬ_Абзац_тип3 Знак"/>
    <w:qFormat/>
    <w:rPr>
      <w:rFonts w:eastAsia="Calibri"/>
      <w:sz w:val="26"/>
      <w:szCs w:val="28"/>
      <w:lang w:eastAsia="en-US"/>
    </w:rPr>
  </w:style>
  <w:style w:type="character" w:styleId="Style10" w:customStyle="1">
    <w:name w:val="Верхний колонтитул Знак"/>
    <w:uiPriority w:val="99"/>
    <w:qFormat/>
    <w:rPr>
      <w:sz w:val="24"/>
      <w:szCs w:val="24"/>
    </w:rPr>
  </w:style>
  <w:style w:type="character" w:styleId="Style11" w:customStyle="1">
    <w:name w:val="Текст примечания Знак"/>
    <w:semiHidden/>
    <w:qFormat/>
    <w:rPr/>
  </w:style>
  <w:style w:type="character" w:styleId="Style12" w:customStyle="1">
    <w:name w:val="Текст концевой сноски Знак"/>
    <w:basedOn w:val="DefaultParagraphFont"/>
    <w:qFormat/>
    <w:rPr/>
  </w:style>
  <w:style w:type="character" w:styleId="Style13">
    <w:name w:val="Символ концевой сноски"/>
    <w:qFormat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styleId="22" w:customStyle="1">
    <w:name w:val="Пункт2 Знак"/>
    <w:qFormat/>
    <w:rPr>
      <w:b/>
      <w:sz w:val="28"/>
    </w:rPr>
  </w:style>
  <w:style w:type="character" w:styleId="12" w:customStyle="1">
    <w:name w:val="УРОВЕНЬ_1. Знак"/>
    <w:qFormat/>
    <w:rPr>
      <w:rFonts w:eastAsia="Calibri"/>
      <w:caps/>
      <w:sz w:val="28"/>
      <w:szCs w:val="28"/>
      <w:lang w:eastAsia="en-US"/>
    </w:rPr>
  </w:style>
  <w:style w:type="character" w:styleId="13" w:customStyle="1">
    <w:name w:val="Неразрешенное упоминание1"/>
    <w:basedOn w:val="DefaultParagraphFont"/>
    <w:uiPriority w:val="99"/>
    <w:semiHidden/>
    <w:unhideWhenUsed/>
    <w:qFormat/>
    <w:rPr>
      <w:color w:val="605E5C"/>
      <w:shd w:fill="E1DFDD" w:val="clear"/>
    </w:rPr>
  </w:style>
  <w:style w:type="character" w:styleId="32" w:customStyle="1">
    <w:name w:val="Основной текст с отступом 3 Знак"/>
    <w:qFormat/>
    <w:rPr>
      <w:sz w:val="16"/>
      <w:szCs w:val="16"/>
    </w:rPr>
  </w:style>
  <w:style w:type="paragraph" w:styleId="Style14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Noto Sans CJK SC" w:cs="Arial Unicode MS"/>
      <w:sz w:val="28"/>
      <w:szCs w:val="28"/>
    </w:rPr>
  </w:style>
  <w:style w:type="paragraph" w:styleId="BodyText">
    <w:name w:val="Body Text"/>
    <w:basedOn w:val="Normal"/>
    <w:pPr>
      <w:spacing w:before="0" w:after="120"/>
    </w:pPr>
    <w:rPr/>
  </w:style>
  <w:style w:type="paragraph" w:styleId="List">
    <w:name w:val="List"/>
    <w:basedOn w:val="BodyText"/>
    <w:pPr/>
    <w:rPr>
      <w:rFonts w:cs="Arial Unicode MS"/>
    </w:rPr>
  </w:style>
  <w:style w:type="paragraph" w:styleId="Caption">
    <w:name w:val="Caption"/>
    <w:basedOn w:val="Normal"/>
    <w:uiPriority w:val="35"/>
    <w:qFormat/>
    <w:pPr/>
    <w:rPr>
      <w:rFonts w:eastAsia="Calibri"/>
      <w:b/>
      <w:bCs/>
      <w:color w:val="4F81BD"/>
      <w:sz w:val="18"/>
      <w:szCs w:val="18"/>
    </w:rPr>
  </w:style>
  <w:style w:type="paragraph" w:styleId="Style15">
    <w:name w:val="Указатель"/>
    <w:basedOn w:val="Normal"/>
    <w:qFormat/>
    <w:pPr>
      <w:suppressLineNumbers/>
    </w:pPr>
    <w:rPr>
      <w:rFonts w:cs="Arial Unicode MS"/>
    </w:rPr>
  </w:style>
  <w:style w:type="paragraph" w:styleId="Title">
    <w:name w:val="Title"/>
    <w:basedOn w:val="Normal"/>
    <w:uiPriority w:val="10"/>
    <w:qFormat/>
    <w:pPr>
      <w:spacing w:before="300" w:after="200"/>
      <w:contextualSpacing/>
    </w:pPr>
    <w:rPr>
      <w:sz w:val="48"/>
      <w:szCs w:val="48"/>
    </w:rPr>
  </w:style>
  <w:style w:type="paragraph" w:styleId="Tableoffigures">
    <w:name w:val="table of figures"/>
    <w:basedOn w:val="Normal"/>
    <w:uiPriority w:val="99"/>
    <w:unhideWhenUsed/>
    <w:qFormat/>
    <w:pPr>
      <w:spacing w:before="0" w:afterAutospacing="0" w:after="0"/>
    </w:pPr>
    <w:rPr/>
  </w:style>
  <w:style w:type="paragraph" w:styleId="Style16" w:customStyle="1">
    <w:name w:val="Название раздела инструкции"/>
    <w:basedOn w:val="Normal"/>
    <w:qFormat/>
    <w:pPr>
      <w:jc w:val="center"/>
    </w:pPr>
    <w:rPr>
      <w:b/>
    </w:rPr>
  </w:style>
  <w:style w:type="paragraph" w:styleId="Style17" w:customStyle="1">
    <w:name w:val="Раздел положения"/>
    <w:basedOn w:val="Normal"/>
    <w:qFormat/>
    <w:pPr>
      <w:numPr>
        <w:ilvl w:val="0"/>
        <w:numId w:val="1"/>
      </w:numPr>
      <w:spacing w:before="80" w:after="80"/>
      <w:jc w:val="center"/>
    </w:pPr>
    <w:rPr>
      <w:b/>
      <w:sz w:val="32"/>
      <w:szCs w:val="32"/>
    </w:rPr>
  </w:style>
  <w:style w:type="paragraph" w:styleId="Style18" w:customStyle="1">
    <w:name w:val="Подраздел раздела положения"/>
    <w:basedOn w:val="Normal"/>
    <w:qFormat/>
    <w:pPr>
      <w:numPr>
        <w:ilvl w:val="1"/>
        <w:numId w:val="1"/>
      </w:numPr>
      <w:spacing w:before="80" w:after="80"/>
      <w:jc w:val="both"/>
    </w:pPr>
    <w:rPr/>
  </w:style>
  <w:style w:type="paragraph" w:styleId="FootnoteText">
    <w:name w:val="Footnote Text"/>
    <w:basedOn w:val="Normal"/>
    <w:uiPriority w:val="99"/>
    <w:pPr/>
    <w:rPr>
      <w:sz w:val="20"/>
      <w:szCs w:val="20"/>
    </w:rPr>
  </w:style>
  <w:style w:type="paragraph" w:styleId="14" w:customStyle="1">
    <w:name w:val="Шапка 1"/>
    <w:basedOn w:val="Normal"/>
    <w:qFormat/>
    <w:pPr>
      <w:pBdr>
        <w:bottom w:val="single" w:sz="24" w:space="1" w:color="000000"/>
      </w:pBdr>
      <w:spacing w:before="0" w:after="240"/>
      <w:jc w:val="center"/>
    </w:pPr>
    <w:rPr>
      <w:sz w:val="22"/>
      <w:szCs w:val="22"/>
    </w:rPr>
  </w:style>
  <w:style w:type="paragraph" w:styleId="23" w:customStyle="1">
    <w:name w:val="Шапка 2"/>
    <w:basedOn w:val="Normal"/>
    <w:qFormat/>
    <w:pPr>
      <w:pBdr>
        <w:bottom w:val="single" w:sz="24" w:space="1" w:color="000000"/>
      </w:pBdr>
      <w:spacing w:before="0" w:after="120"/>
      <w:jc w:val="center"/>
    </w:pPr>
    <w:rPr>
      <w:b/>
      <w:sz w:val="22"/>
      <w:szCs w:val="22"/>
    </w:rPr>
  </w:style>
  <w:style w:type="paragraph" w:styleId="33" w:customStyle="1">
    <w:name w:val="Шапка 3"/>
    <w:basedOn w:val="Normal"/>
    <w:qFormat/>
    <w:pPr>
      <w:pBdr>
        <w:bottom w:val="single" w:sz="24" w:space="1" w:color="000000"/>
      </w:pBdr>
      <w:spacing w:before="240" w:after="360"/>
      <w:jc w:val="center"/>
    </w:pPr>
    <w:rPr>
      <w:b/>
      <w:sz w:val="24"/>
      <w:szCs w:val="24"/>
    </w:rPr>
  </w:style>
  <w:style w:type="paragraph" w:styleId="15" w:customStyle="1">
    <w:name w:val="Название1"/>
    <w:basedOn w:val="Normal"/>
    <w:uiPriority w:val="10"/>
    <w:qFormat/>
    <w:pPr>
      <w:jc w:val="center"/>
    </w:pPr>
    <w:rPr>
      <w:szCs w:val="20"/>
    </w:rPr>
  </w:style>
  <w:style w:type="paragraph" w:styleId="Style19">
    <w:name w:val="Колонтитул"/>
    <w:basedOn w:val="Normal"/>
    <w:qFormat/>
    <w:pPr/>
    <w:rPr/>
  </w:style>
  <w:style w:type="paragraph" w:styleId="Header">
    <w:name w:val="Header"/>
    <w:basedOn w:val="Normal"/>
    <w:pPr>
      <w:tabs>
        <w:tab w:val="clear" w:pos="709"/>
        <w:tab w:val="center" w:pos="4677" w:leader="none"/>
        <w:tab w:val="right" w:pos="9355" w:leader="none"/>
      </w:tabs>
    </w:pPr>
    <w:rPr>
      <w:sz w:val="24"/>
      <w:szCs w:val="24"/>
    </w:rPr>
  </w:style>
  <w:style w:type="paragraph" w:styleId="BodyTextIndent">
    <w:name w:val="Body Text Indent"/>
    <w:basedOn w:val="Normal"/>
    <w:pPr>
      <w:ind w:left="360" w:hanging="0"/>
    </w:pPr>
    <w:rPr>
      <w:sz w:val="24"/>
      <w:szCs w:val="24"/>
    </w:rPr>
  </w:style>
  <w:style w:type="paragraph" w:styleId="Footer">
    <w:name w:val="Footer"/>
    <w:basedOn w:val="Normal"/>
    <w:pPr>
      <w:tabs>
        <w:tab w:val="clear" w:pos="709"/>
        <w:tab w:val="center" w:pos="4677" w:leader="none"/>
        <w:tab w:val="right" w:pos="9355" w:leader="none"/>
      </w:tabs>
    </w:pPr>
    <w:rPr/>
  </w:style>
  <w:style w:type="paragraph" w:styleId="BodyTextIndent2">
    <w:name w:val="Body Text Indent 2"/>
    <w:basedOn w:val="Normal"/>
    <w:qFormat/>
    <w:pPr>
      <w:spacing w:lineRule="auto" w:line="480" w:before="0" w:after="120"/>
      <w:ind w:left="283" w:hanging="0"/>
    </w:pPr>
    <w:rPr/>
  </w:style>
  <w:style w:type="paragraph" w:styleId="BodyText3">
    <w:name w:val="Body Text 3"/>
    <w:basedOn w:val="Normal"/>
    <w:qFormat/>
    <w:pPr>
      <w:spacing w:before="0" w:after="120"/>
    </w:pPr>
    <w:rPr>
      <w:sz w:val="16"/>
      <w:szCs w:val="16"/>
    </w:rPr>
  </w:style>
  <w:style w:type="paragraph" w:styleId="BodyTextIndent3">
    <w:name w:val="Body Text Indent 3"/>
    <w:basedOn w:val="Normal"/>
    <w:qFormat/>
    <w:pPr>
      <w:spacing w:before="0" w:after="120"/>
      <w:ind w:left="283" w:hanging="0"/>
    </w:pPr>
    <w:rPr>
      <w:sz w:val="16"/>
      <w:szCs w:val="16"/>
    </w:rPr>
  </w:style>
  <w:style w:type="paragraph" w:styleId="BodyText2">
    <w:name w:val="Body Text 2"/>
    <w:basedOn w:val="Normal"/>
    <w:qFormat/>
    <w:pPr>
      <w:spacing w:lineRule="auto" w:line="480" w:before="0" w:after="120"/>
    </w:pPr>
    <w:rPr/>
  </w:style>
  <w:style w:type="paragraph" w:styleId="BlockText">
    <w:name w:val="Block Text"/>
    <w:basedOn w:val="Normal"/>
    <w:qFormat/>
    <w:pPr>
      <w:ind w:left="-567" w:right="-766" w:hanging="0"/>
      <w:jc w:val="center"/>
    </w:pPr>
    <w:rPr>
      <w:b/>
      <w:bCs/>
      <w:sz w:val="24"/>
      <w:szCs w:val="20"/>
    </w:rPr>
  </w:style>
  <w:style w:type="paragraph" w:styleId="Style20" w:customStyle="1">
    <w:name w:val="Подпункт"/>
    <w:basedOn w:val="Normal"/>
    <w:qFormat/>
    <w:pPr>
      <w:tabs>
        <w:tab w:val="clear" w:pos="709"/>
        <w:tab w:val="left" w:pos="1134" w:leader="none"/>
      </w:tabs>
      <w:spacing w:lineRule="auto" w:line="360"/>
      <w:ind w:left="1134" w:hanging="1134"/>
      <w:jc w:val="both"/>
    </w:pPr>
    <w:rPr>
      <w:szCs w:val="20"/>
    </w:rPr>
  </w:style>
  <w:style w:type="paragraph" w:styleId="24" w:customStyle="1">
    <w:name w:val="Пункт2"/>
    <w:basedOn w:val="Normal"/>
    <w:qFormat/>
    <w:pPr>
      <w:keepNext w:val="true"/>
      <w:tabs>
        <w:tab w:val="clear" w:pos="709"/>
        <w:tab w:val="left" w:pos="1134" w:leader="none"/>
      </w:tabs>
      <w:spacing w:before="240" w:after="120"/>
      <w:ind w:left="1134" w:hanging="1134"/>
      <w:outlineLvl w:val="2"/>
    </w:pPr>
    <w:rPr>
      <w:b/>
      <w:szCs w:val="20"/>
    </w:rPr>
  </w:style>
  <w:style w:type="paragraph" w:styleId="TOC1">
    <w:name w:val="TOC 1"/>
    <w:basedOn w:val="Normal"/>
    <w:uiPriority w:val="39"/>
    <w:pPr>
      <w:tabs>
        <w:tab w:val="clear" w:pos="709"/>
        <w:tab w:val="left" w:pos="560" w:leader="none"/>
        <w:tab w:val="right" w:pos="9923" w:leader="dot"/>
      </w:tabs>
      <w:spacing w:before="120" w:after="0"/>
    </w:pPr>
    <w:rPr>
      <w:rFonts w:cs="Calibri Light (Заголовки)"/>
      <w:b/>
      <w:bCs/>
      <w:sz w:val="24"/>
      <w:szCs w:val="24"/>
    </w:rPr>
  </w:style>
  <w:style w:type="paragraph" w:styleId="TOC3">
    <w:name w:val="TOC 3"/>
    <w:basedOn w:val="Normal"/>
    <w:uiPriority w:val="39"/>
    <w:pPr>
      <w:ind w:left="280" w:hanging="0"/>
    </w:pPr>
    <w:rPr>
      <w:rFonts w:cs="Calibri" w:cstheme="minorHAnsi"/>
      <w:sz w:val="20"/>
      <w:szCs w:val="20"/>
    </w:rPr>
  </w:style>
  <w:style w:type="paragraph" w:styleId="Style21" w:customStyle="1">
    <w:name w:val="Раздел регламента"/>
    <w:basedOn w:val="Normal"/>
    <w:qFormat/>
    <w:pPr/>
    <w:rPr/>
  </w:style>
  <w:style w:type="paragraph" w:styleId="Style22" w:customStyle="1">
    <w:name w:val="Приложение к регламенту"/>
    <w:basedOn w:val="Normal"/>
    <w:qFormat/>
    <w:pPr>
      <w:jc w:val="right"/>
    </w:pPr>
    <w:rPr/>
  </w:style>
  <w:style w:type="paragraph" w:styleId="TOC2">
    <w:name w:val="TOC 2"/>
    <w:basedOn w:val="Normal"/>
    <w:uiPriority w:val="39"/>
    <w:pPr>
      <w:spacing w:before="240" w:after="0"/>
    </w:pPr>
    <w:rPr>
      <w:rFonts w:cs="Calibri" w:cstheme="minorHAnsi"/>
      <w:b/>
      <w:bCs/>
      <w:sz w:val="20"/>
      <w:szCs w:val="20"/>
    </w:rPr>
  </w:style>
  <w:style w:type="paragraph" w:styleId="BalloonText">
    <w:name w:val="Balloon Text"/>
    <w:basedOn w:val="Normal"/>
    <w:semiHidden/>
    <w:qFormat/>
    <w:pPr/>
    <w:rPr>
      <w:rFonts w:ascii="Tahoma" w:hAnsi="Tahoma" w:cs="Tahoma"/>
      <w:sz w:val="16"/>
      <w:szCs w:val="16"/>
    </w:rPr>
  </w:style>
  <w:style w:type="paragraph" w:styleId="Annotationtext">
    <w:name w:val="annotation text"/>
    <w:basedOn w:val="Normal"/>
    <w:semiHidden/>
    <w:qFormat/>
    <w:pPr/>
    <w:rPr>
      <w:sz w:val="20"/>
      <w:szCs w:val="20"/>
    </w:rPr>
  </w:style>
  <w:style w:type="paragraph" w:styleId="Annotationsubject">
    <w:name w:val="annotation subject"/>
    <w:basedOn w:val="Annotationtext"/>
    <w:semiHidden/>
    <w:qFormat/>
    <w:pPr/>
    <w:rPr>
      <w:b/>
      <w:bCs/>
    </w:rPr>
  </w:style>
  <w:style w:type="paragraph" w:styleId="16" w:customStyle="1">
    <w:name w:val="Обычный (веб)1"/>
    <w:basedOn w:val="Normal"/>
    <w:uiPriority w:val="99"/>
    <w:qFormat/>
    <w:pPr>
      <w:spacing w:beforeAutospacing="1" w:afterAutospacing="1"/>
    </w:pPr>
    <w:rPr>
      <w:rFonts w:ascii="Arial Unicode MS" w:hAnsi="Arial Unicode MS" w:eastAsia="Arial Unicode MS" w:cs="Arial Unicode MS"/>
      <w:sz w:val="24"/>
      <w:szCs w:val="24"/>
    </w:rPr>
  </w:style>
  <w:style w:type="paragraph" w:styleId="TOC9">
    <w:name w:val="TOC 9"/>
    <w:basedOn w:val="Normal"/>
    <w:semiHidden/>
    <w:pPr>
      <w:ind w:left="1960" w:hanging="0"/>
    </w:pPr>
    <w:rPr>
      <w:rFonts w:ascii="Calibri" w:hAnsi="Calibri" w:cs="Calibri" w:asciiTheme="minorHAnsi" w:cstheme="minorHAnsi" w:hAnsiTheme="minorHAnsi"/>
      <w:sz w:val="20"/>
      <w:szCs w:val="20"/>
    </w:rPr>
  </w:style>
  <w:style w:type="paragraph" w:styleId="TOC5">
    <w:name w:val="TOC 5"/>
    <w:basedOn w:val="Normal"/>
    <w:semiHidden/>
    <w:pPr>
      <w:ind w:left="840" w:hanging="0"/>
    </w:pPr>
    <w:rPr>
      <w:rFonts w:ascii="Calibri" w:hAnsi="Calibri" w:cs="Calibri" w:asciiTheme="minorHAnsi" w:cstheme="minorHAnsi" w:hAnsiTheme="minorHAnsi"/>
      <w:sz w:val="20"/>
      <w:szCs w:val="20"/>
    </w:rPr>
  </w:style>
  <w:style w:type="paragraph" w:styleId="TOC4">
    <w:name w:val="TOC 4"/>
    <w:basedOn w:val="Normal"/>
    <w:uiPriority w:val="39"/>
    <w:pPr>
      <w:ind w:left="560" w:hanging="0"/>
    </w:pPr>
    <w:rPr>
      <w:rFonts w:cs="Calibri" w:cstheme="minorHAnsi"/>
      <w:sz w:val="20"/>
      <w:szCs w:val="20"/>
    </w:rPr>
  </w:style>
  <w:style w:type="paragraph" w:styleId="25" w:customStyle="1">
    <w:name w:val="Раздел положения 2"/>
    <w:basedOn w:val="Normal"/>
    <w:qFormat/>
    <w:pPr>
      <w:pageBreakBefore/>
      <w:jc w:val="both"/>
      <w:outlineLvl w:val="0"/>
    </w:pPr>
    <w:rPr>
      <w:b/>
    </w:rPr>
  </w:style>
  <w:style w:type="paragraph" w:styleId="Style23" w:customStyle="1">
    <w:name w:val="Знак Знак Знак Знак Знак Знак Знак Знак Знак"/>
    <w:basedOn w:val="Normal"/>
    <w:qFormat/>
    <w:pPr>
      <w:spacing w:lineRule="exact" w:line="240" w:before="0" w:after="160"/>
      <w:jc w:val="both"/>
    </w:pPr>
    <w:rPr>
      <w:rFonts w:ascii="Verdana" w:hAnsi="Verdana" w:cs="Verdana"/>
      <w:sz w:val="22"/>
      <w:szCs w:val="22"/>
      <w:lang w:val="en-US" w:eastAsia="en-US"/>
    </w:rPr>
  </w:style>
  <w:style w:type="paragraph" w:styleId="NoSpacing">
    <w:name w:val="No Spacing"/>
    <w:basedOn w:val="Normal"/>
    <w:uiPriority w:val="1"/>
    <w:qFormat/>
    <w:pPr>
      <w:spacing w:lineRule="auto" w:line="360"/>
    </w:pPr>
    <w:rPr>
      <w:rFonts w:eastAsia="Calibri"/>
      <w:sz w:val="24"/>
      <w:szCs w:val="24"/>
    </w:rPr>
  </w:style>
  <w:style w:type="paragraph" w:styleId="Subtitle">
    <w:name w:val="Subtitle"/>
    <w:basedOn w:val="Normal"/>
    <w:uiPriority w:val="11"/>
    <w:qFormat/>
    <w:pPr>
      <w:numPr>
        <w:ilvl w:val="1"/>
      </w:numPr>
      <w:ind w:left="1066" w:firstLine="709"/>
    </w:pPr>
    <w:rPr>
      <w:rFonts w:ascii="Cambria" w:hAnsi="Cambria"/>
      <w:i/>
      <w:iCs/>
      <w:color w:val="4F81BD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pPr>
      <w:spacing w:before="0" w:after="0"/>
      <w:ind w:left="720" w:hanging="0"/>
      <w:contextualSpacing/>
    </w:pPr>
    <w:rPr>
      <w:rFonts w:eastAsia="Calibri"/>
      <w:sz w:val="24"/>
      <w:szCs w:val="24"/>
    </w:rPr>
  </w:style>
  <w:style w:type="paragraph" w:styleId="Quote">
    <w:name w:val="Quote"/>
    <w:basedOn w:val="Normal"/>
    <w:uiPriority w:val="29"/>
    <w:qFormat/>
    <w:pPr/>
    <w:rPr>
      <w:rFonts w:ascii="Calibri" w:hAnsi="Calibri" w:eastAsia="Calibri"/>
      <w:i/>
      <w:iCs/>
      <w:color w:val="000000"/>
      <w:sz w:val="20"/>
      <w:szCs w:val="20"/>
    </w:rPr>
  </w:style>
  <w:style w:type="paragraph" w:styleId="IntenseQuote">
    <w:name w:val="Intense Quote"/>
    <w:basedOn w:val="Normal"/>
    <w:uiPriority w:val="30"/>
    <w:qFormat/>
    <w:pPr>
      <w:pBdr>
        <w:bottom w:val="single" w:sz="4" w:space="4" w:color="4F81BD"/>
      </w:pBdr>
      <w:spacing w:before="200" w:after="280"/>
      <w:ind w:left="936" w:right="936" w:hanging="0"/>
    </w:pPr>
    <w:rPr>
      <w:rFonts w:ascii="Calibri" w:hAnsi="Calibri" w:eastAsia="Calibri"/>
      <w:b/>
      <w:bCs/>
      <w:i/>
      <w:iCs/>
      <w:color w:val="4F81BD"/>
      <w:sz w:val="20"/>
      <w:szCs w:val="20"/>
    </w:rPr>
  </w:style>
  <w:style w:type="paragraph" w:styleId="IndexHeading">
    <w:name w:val="Index Heading"/>
    <w:basedOn w:val="Style14"/>
    <w:pPr/>
    <w:rPr/>
  </w:style>
  <w:style w:type="paragraph" w:styleId="TOCHeading">
    <w:name w:val="TOC Heading"/>
    <w:basedOn w:val="Heading1"/>
    <w:uiPriority w:val="39"/>
    <w:qFormat/>
    <w:pPr>
      <w:keepLines/>
      <w:spacing w:before="480" w:after="60"/>
      <w:outlineLvl w:val="9"/>
    </w:pPr>
    <w:rPr>
      <w:rFonts w:ascii="Cambria" w:hAnsi="Cambria"/>
      <w:bCs/>
      <w:color w:val="365F91"/>
    </w:rPr>
  </w:style>
  <w:style w:type="paragraph" w:styleId="E-mailSignature">
    <w:name w:val="E-mail Signature"/>
    <w:basedOn w:val="Normal"/>
    <w:uiPriority w:val="99"/>
    <w:unhideWhenUsed/>
    <w:qFormat/>
    <w:pPr/>
    <w:rPr>
      <w:rFonts w:eastAsia="Calibri"/>
      <w:sz w:val="24"/>
      <w:szCs w:val="24"/>
    </w:rPr>
  </w:style>
  <w:style w:type="paragraph" w:styleId="Style24" w:customStyle="1">
    <w:name w:val="Знак"/>
    <w:basedOn w:val="Normal"/>
    <w:qFormat/>
    <w:pPr>
      <w:spacing w:lineRule="exact" w:line="240" w:before="0" w:after="160"/>
    </w:pPr>
    <w:rPr>
      <w:rFonts w:ascii="Verdana" w:hAnsi="Verdana" w:cs="Verdana"/>
      <w:sz w:val="20"/>
      <w:szCs w:val="20"/>
      <w:lang w:val="en-US" w:eastAsia="en-US"/>
    </w:rPr>
  </w:style>
  <w:style w:type="paragraph" w:styleId="34" w:customStyle="1">
    <w:name w:val="Нумерованный список ур3"/>
    <w:basedOn w:val="Normal"/>
    <w:qFormat/>
    <w:pPr>
      <w:numPr>
        <w:ilvl w:val="2"/>
        <w:numId w:val="2"/>
      </w:numPr>
      <w:jc w:val="both"/>
    </w:pPr>
    <w:rPr>
      <w:rFonts w:ascii="Garamond" w:hAnsi="Garamond"/>
      <w:sz w:val="24"/>
      <w:szCs w:val="20"/>
    </w:rPr>
  </w:style>
  <w:style w:type="paragraph" w:styleId="ListBullet4" w:customStyle="1">
    <w:name w:val="List Bullet 4"/>
    <w:basedOn w:val="Normal"/>
    <w:qFormat/>
    <w:pPr>
      <w:numPr>
        <w:ilvl w:val="0"/>
        <w:numId w:val="2"/>
      </w:numPr>
      <w:spacing w:before="120" w:after="0"/>
      <w:jc w:val="both"/>
    </w:pPr>
    <w:rPr>
      <w:rFonts w:ascii="Garamond" w:hAnsi="Garamond"/>
      <w:sz w:val="24"/>
      <w:szCs w:val="20"/>
    </w:rPr>
  </w:style>
  <w:style w:type="paragraph" w:styleId="26" w:customStyle="1">
    <w:name w:val="Нумерованный список ур2"/>
    <w:basedOn w:val="Normal"/>
    <w:qFormat/>
    <w:pPr>
      <w:numPr>
        <w:ilvl w:val="1"/>
        <w:numId w:val="2"/>
      </w:numPr>
      <w:spacing w:before="120" w:after="0"/>
      <w:jc w:val="both"/>
    </w:pPr>
    <w:rPr>
      <w:rFonts w:ascii="Garamond" w:hAnsi="Garamond"/>
      <w:sz w:val="24"/>
      <w:szCs w:val="20"/>
    </w:rPr>
  </w:style>
  <w:style w:type="paragraph" w:styleId="Revision">
    <w:name w:val="Revision"/>
    <w:uiPriority w:val="99"/>
    <w:semiHidden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Calibri" w:cs="Arial Unicode MS"/>
      <w:color w:val="auto"/>
      <w:kern w:val="0"/>
      <w:sz w:val="24"/>
      <w:szCs w:val="24"/>
      <w:lang w:val="ru-RU" w:eastAsia="ru-RU" w:bidi="ar-SA"/>
    </w:rPr>
  </w:style>
  <w:style w:type="paragraph" w:styleId="ConsPlusNormal" w:customStyle="1">
    <w:name w:val="ConsPlusNormal"/>
    <w:qFormat/>
    <w:pPr>
      <w:widowControl w:val="false"/>
      <w:suppressAutoHyphens w:val="true"/>
      <w:bidi w:val="0"/>
      <w:spacing w:before="0" w:after="0"/>
      <w:ind w:firstLine="720"/>
      <w:jc w:val="left"/>
    </w:pPr>
    <w:rPr>
      <w:rFonts w:ascii="Arial" w:hAnsi="Arial" w:eastAsia="Noto Serif CJK SC" w:cs="Arial"/>
      <w:color w:val="auto"/>
      <w:kern w:val="0"/>
      <w:sz w:val="20"/>
      <w:szCs w:val="20"/>
      <w:lang w:val="ru-RU" w:eastAsia="ru-RU" w:bidi="ar-SA"/>
    </w:rPr>
  </w:style>
  <w:style w:type="paragraph" w:styleId="35" w:customStyle="1">
    <w:name w:val="Знак Знак3 Знак Знак"/>
    <w:basedOn w:val="Normal"/>
    <w:qFormat/>
    <w:pPr>
      <w:spacing w:lineRule="exact" w:line="240" w:before="0" w:after="160"/>
      <w:jc w:val="both"/>
    </w:pPr>
    <w:rPr>
      <w:rFonts w:ascii="Verdana" w:hAnsi="Verdana" w:cs="Verdana"/>
      <w:sz w:val="22"/>
      <w:szCs w:val="22"/>
      <w:lang w:val="en-US" w:eastAsia="en-US"/>
    </w:rPr>
  </w:style>
  <w:style w:type="paragraph" w:styleId="Style25" w:customStyle="1">
    <w:name w:val="Пункт"/>
    <w:basedOn w:val="Normal"/>
    <w:qFormat/>
    <w:pPr>
      <w:widowControl w:val="false"/>
      <w:tabs>
        <w:tab w:val="clear" w:pos="709"/>
        <w:tab w:val="left" w:pos="1134" w:leader="none"/>
      </w:tabs>
      <w:spacing w:lineRule="auto" w:line="360" w:before="120" w:after="0"/>
      <w:ind w:left="1134" w:right="800" w:hanging="1134"/>
      <w:jc w:val="both"/>
    </w:pPr>
    <w:rPr>
      <w:rFonts w:ascii="Arial" w:hAnsi="Arial"/>
      <w:b/>
      <w:i/>
      <w:szCs w:val="20"/>
    </w:rPr>
  </w:style>
  <w:style w:type="paragraph" w:styleId="17" w:customStyle="1">
    <w:name w:val="Абзац списка1"/>
    <w:basedOn w:val="Normal"/>
    <w:qFormat/>
    <w:pPr>
      <w:spacing w:lineRule="auto" w:line="276" w:before="0" w:after="200"/>
      <w:ind w:left="720" w:hanging="0"/>
      <w:contextualSpacing/>
    </w:pPr>
    <w:rPr>
      <w:rFonts w:ascii="Calibri" w:hAnsi="Calibri"/>
      <w:sz w:val="22"/>
      <w:szCs w:val="22"/>
      <w:lang w:eastAsia="en-US"/>
    </w:rPr>
  </w:style>
  <w:style w:type="paragraph" w:styleId="Style26" w:customStyle="1">
    <w:name w:val="Таблица"/>
    <w:basedOn w:val="Normal"/>
    <w:qFormat/>
    <w:pPr>
      <w:keepNext w:val="true"/>
      <w:spacing w:before="60" w:after="60"/>
      <w:jc w:val="center"/>
    </w:pPr>
    <w:rPr>
      <w:rFonts w:eastAsia="Calibri"/>
      <w:b/>
      <w:sz w:val="24"/>
      <w:szCs w:val="24"/>
    </w:rPr>
  </w:style>
  <w:style w:type="paragraph" w:styleId="Style27" w:customStyle="1">
    <w:name w:val="Таблица шапка"/>
    <w:basedOn w:val="Normal"/>
    <w:qFormat/>
    <w:pPr>
      <w:keepNext w:val="true"/>
      <w:spacing w:before="40" w:after="40"/>
      <w:ind w:left="57" w:right="57" w:hanging="0"/>
    </w:pPr>
    <w:rPr>
      <w:sz w:val="22"/>
      <w:szCs w:val="26"/>
    </w:rPr>
  </w:style>
  <w:style w:type="paragraph" w:styleId="Style28" w:customStyle="1">
    <w:name w:val="Подподпункт"/>
    <w:basedOn w:val="Style20"/>
    <w:qFormat/>
    <w:pPr>
      <w:tabs>
        <w:tab w:val="clear" w:pos="1134"/>
        <w:tab w:val="left" w:pos="5104" w:leader="none"/>
      </w:tabs>
      <w:spacing w:lineRule="auto" w:line="240" w:before="120" w:after="0"/>
      <w:ind w:left="5104" w:hanging="567"/>
    </w:pPr>
    <w:rPr>
      <w:sz w:val="26"/>
      <w:szCs w:val="26"/>
      <w:lang w:val="ru-RU" w:eastAsia="ru-RU"/>
    </w:rPr>
  </w:style>
  <w:style w:type="paragraph" w:styleId="Style29" w:customStyle="1">
    <w:name w:val="УРОВЕНЬ_(а)"/>
    <w:basedOn w:val="ListParagraph"/>
    <w:qFormat/>
    <w:pPr>
      <w:numPr>
        <w:ilvl w:val="3"/>
        <w:numId w:val="4"/>
      </w:numPr>
      <w:spacing w:lineRule="exact" w:line="360" w:before="120" w:after="0"/>
      <w:contextualSpacing w:val="false"/>
      <w:jc w:val="both"/>
      <w:outlineLvl w:val="3"/>
    </w:pPr>
    <w:rPr>
      <w:sz w:val="26"/>
      <w:szCs w:val="28"/>
      <w:lang w:eastAsia="en-US"/>
    </w:rPr>
  </w:style>
  <w:style w:type="paragraph" w:styleId="-" w:customStyle="1">
    <w:name w:val="УРОВЕНЬ_-"/>
    <w:basedOn w:val="ListParagraph"/>
    <w:qFormat/>
    <w:pPr>
      <w:numPr>
        <w:ilvl w:val="4"/>
        <w:numId w:val="4"/>
      </w:numPr>
      <w:spacing w:lineRule="exact" w:line="360" w:before="120" w:after="0"/>
      <w:contextualSpacing w:val="false"/>
      <w:jc w:val="both"/>
      <w:outlineLvl w:val="4"/>
    </w:pPr>
    <w:rPr>
      <w:sz w:val="26"/>
      <w:szCs w:val="28"/>
      <w:lang w:eastAsia="en-US"/>
    </w:rPr>
  </w:style>
  <w:style w:type="paragraph" w:styleId="27" w:customStyle="1">
    <w:name w:val="УРОВЕНЬ_Абзац_тип2"/>
    <w:basedOn w:val="ListParagraph"/>
    <w:qFormat/>
    <w:pPr>
      <w:numPr>
        <w:ilvl w:val="6"/>
        <w:numId w:val="4"/>
      </w:numPr>
      <w:spacing w:lineRule="exact" w:line="360" w:before="120" w:after="0"/>
      <w:contextualSpacing w:val="false"/>
      <w:jc w:val="both"/>
    </w:pPr>
    <w:rPr>
      <w:sz w:val="26"/>
      <w:szCs w:val="28"/>
      <w:lang w:eastAsia="en-US"/>
    </w:rPr>
  </w:style>
  <w:style w:type="paragraph" w:styleId="36" w:customStyle="1">
    <w:name w:val="УРОВЕНЬ_Абзац_тип3"/>
    <w:basedOn w:val="ListParagraph"/>
    <w:qFormat/>
    <w:pPr>
      <w:numPr>
        <w:ilvl w:val="7"/>
        <w:numId w:val="4"/>
      </w:numPr>
      <w:spacing w:lineRule="exact" w:line="360" w:before="120" w:after="0"/>
      <w:contextualSpacing w:val="false"/>
      <w:jc w:val="both"/>
    </w:pPr>
    <w:rPr>
      <w:sz w:val="26"/>
      <w:szCs w:val="28"/>
      <w:lang w:eastAsia="en-US"/>
    </w:rPr>
  </w:style>
  <w:style w:type="paragraph" w:styleId="Style30" w:customStyle="1">
    <w:name w:val="УРОВЕНЬ_Подпись"/>
    <w:basedOn w:val="ListParagraph"/>
    <w:qFormat/>
    <w:pPr>
      <w:keepNext w:val="true"/>
      <w:numPr>
        <w:ilvl w:val="5"/>
        <w:numId w:val="4"/>
      </w:numPr>
      <w:spacing w:lineRule="exact" w:line="360" w:before="120" w:after="120"/>
      <w:contextualSpacing w:val="false"/>
      <w:jc w:val="right"/>
      <w:outlineLvl w:val="3"/>
    </w:pPr>
    <w:rPr>
      <w:sz w:val="26"/>
      <w:szCs w:val="28"/>
      <w:lang w:eastAsia="en-US"/>
    </w:rPr>
  </w:style>
  <w:style w:type="paragraph" w:styleId="18" w:customStyle="1">
    <w:name w:val="Стиль Заголовок 1 + по ширине"/>
    <w:basedOn w:val="Heading1"/>
    <w:qFormat/>
    <w:pPr>
      <w:keepLines/>
      <w:numPr>
        <w:ilvl w:val="0"/>
        <w:numId w:val="0"/>
      </w:numPr>
      <w:tabs>
        <w:tab w:val="clear" w:pos="709"/>
        <w:tab w:val="left" w:pos="567" w:leader="none"/>
      </w:tabs>
      <w:spacing w:before="480" w:after="240"/>
      <w:ind w:left="567" w:hanging="567"/>
      <w:jc w:val="both"/>
    </w:pPr>
    <w:rPr>
      <w:rFonts w:ascii="Arial" w:hAnsi="Arial" w:eastAsia="Times New Roman"/>
      <w:bCs/>
      <w:sz w:val="40"/>
      <w:szCs w:val="20"/>
      <w:lang w:val="ru-RU" w:eastAsia="ru-RU"/>
    </w:rPr>
  </w:style>
  <w:style w:type="paragraph" w:styleId="EndnoteText">
    <w:name w:val="Endnote Text"/>
    <w:basedOn w:val="Normal"/>
    <w:pPr/>
    <w:rPr>
      <w:sz w:val="20"/>
      <w:szCs w:val="20"/>
    </w:rPr>
  </w:style>
  <w:style w:type="paragraph" w:styleId="28" w:customStyle="1">
    <w:name w:val="Заголовок 2 КВВ"/>
    <w:basedOn w:val="Normal"/>
    <w:qFormat/>
    <w:pPr>
      <w:keepNext w:val="true"/>
      <w:numPr>
        <w:ilvl w:val="0"/>
        <w:numId w:val="5"/>
      </w:numPr>
      <w:spacing w:before="120" w:after="120"/>
      <w:jc w:val="both"/>
      <w:outlineLvl w:val="0"/>
    </w:pPr>
    <w:rPr>
      <w:b/>
      <w:sz w:val="24"/>
      <w:szCs w:val="20"/>
    </w:rPr>
  </w:style>
  <w:style w:type="paragraph" w:styleId="Style31" w:customStyle="1">
    <w:name w:val="Таблица текст"/>
    <w:basedOn w:val="Normal"/>
    <w:qFormat/>
    <w:pPr>
      <w:spacing w:before="40" w:after="40"/>
      <w:ind w:left="57" w:right="57" w:hanging="0"/>
    </w:pPr>
    <w:rPr>
      <w:sz w:val="24"/>
      <w:szCs w:val="26"/>
    </w:rPr>
  </w:style>
  <w:style w:type="paragraph" w:styleId="NormalWeb">
    <w:name w:val="Normal (Web)"/>
    <w:basedOn w:val="Normal"/>
    <w:uiPriority w:val="99"/>
    <w:unhideWhenUsed/>
    <w:qFormat/>
    <w:pPr>
      <w:spacing w:beforeAutospacing="1" w:afterAutospacing="1"/>
    </w:pPr>
    <w:rPr>
      <w:sz w:val="24"/>
      <w:szCs w:val="24"/>
    </w:rPr>
  </w:style>
  <w:style w:type="paragraph" w:styleId="19" w:customStyle="1">
    <w:name w:val="УРОВЕНЬ_1."/>
    <w:basedOn w:val="ListParagraph"/>
    <w:qFormat/>
    <w:pPr>
      <w:keepNext w:val="true"/>
      <w:keepLines/>
      <w:spacing w:lineRule="auto" w:line="276" w:before="240" w:after="120"/>
      <w:ind w:left="0" w:hanging="0"/>
      <w:contextualSpacing w:val="false"/>
      <w:jc w:val="both"/>
      <w:outlineLvl w:val="0"/>
    </w:pPr>
    <w:rPr>
      <w:caps/>
      <w:sz w:val="28"/>
      <w:szCs w:val="28"/>
      <w:lang w:eastAsia="en-US"/>
    </w:rPr>
  </w:style>
  <w:style w:type="paragraph" w:styleId="TOC6">
    <w:name w:val="TOC 6"/>
    <w:basedOn w:val="Normal"/>
    <w:unhideWhenUsed/>
    <w:pPr>
      <w:ind w:left="1120" w:hanging="0"/>
    </w:pPr>
    <w:rPr>
      <w:rFonts w:ascii="Calibri" w:hAnsi="Calibri" w:cs="Calibri" w:asciiTheme="minorHAnsi" w:cstheme="minorHAnsi" w:hAnsiTheme="minorHAnsi"/>
      <w:sz w:val="20"/>
      <w:szCs w:val="20"/>
    </w:rPr>
  </w:style>
  <w:style w:type="paragraph" w:styleId="TOC7">
    <w:name w:val="TOC 7"/>
    <w:basedOn w:val="Normal"/>
    <w:unhideWhenUsed/>
    <w:pPr>
      <w:ind w:left="1400" w:hanging="0"/>
    </w:pPr>
    <w:rPr>
      <w:rFonts w:ascii="Calibri" w:hAnsi="Calibri" w:cs="Calibri" w:asciiTheme="minorHAnsi" w:cstheme="minorHAnsi" w:hAnsiTheme="minorHAnsi"/>
      <w:sz w:val="20"/>
      <w:szCs w:val="20"/>
    </w:rPr>
  </w:style>
  <w:style w:type="paragraph" w:styleId="TOC8">
    <w:name w:val="TOC 8"/>
    <w:basedOn w:val="Normal"/>
    <w:unhideWhenUsed/>
    <w:pPr>
      <w:ind w:left="1680" w:hanging="0"/>
    </w:pPr>
    <w:rPr>
      <w:rFonts w:ascii="Calibri" w:hAnsi="Calibri" w:cs="Calibri" w:asciiTheme="minorHAnsi" w:cstheme="minorHAnsi" w:hAnsiTheme="minorHAnsi"/>
      <w:sz w:val="20"/>
      <w:szCs w:val="20"/>
    </w:rPr>
  </w:style>
  <w:style w:type="paragraph" w:styleId="ConsNonformat" w:customStyle="1">
    <w:name w:val="ConsNonformat"/>
    <w:qFormat/>
    <w:pPr>
      <w:widowControl/>
      <w:suppressAutoHyphens w:val="true"/>
      <w:bidi w:val="0"/>
      <w:spacing w:before="0" w:after="0"/>
      <w:jc w:val="left"/>
    </w:pPr>
    <w:rPr>
      <w:rFonts w:ascii="Courier New" w:hAnsi="Courier New" w:eastAsia="Noto Serif CJK SC" w:cs="Courier New"/>
      <w:color w:val="auto"/>
      <w:kern w:val="0"/>
      <w:sz w:val="20"/>
      <w:szCs w:val="20"/>
      <w:lang w:val="ru-RU" w:eastAsia="ru-RU" w:bidi="ar-SA"/>
    </w:rPr>
  </w:style>
  <w:style w:type="paragraph" w:styleId="ConsNormal" w:customStyle="1">
    <w:name w:val="ConsNormal"/>
    <w:qFormat/>
    <w:pPr>
      <w:keepNext w:val="false"/>
      <w:keepLines w:val="false"/>
      <w:pageBreakBefore w:val="false"/>
      <w:widowControl/>
      <w:shd w:val="nil"/>
      <w:suppressAutoHyphens w:val="true"/>
      <w:bidi w:val="0"/>
      <w:spacing w:lineRule="auto" w:line="240" w:beforeAutospacing="0" w:before="0" w:afterAutospacing="0" w:after="0"/>
      <w:ind w:left="0" w:right="0" w:firstLine="720"/>
      <w:jc w:val="left"/>
    </w:pPr>
    <w:rPr>
      <w:rFonts w:ascii="Arial" w:hAnsi="Arial" w:eastAsia="Times New Roman" w:cs="Arial"/>
      <w:b w:val="false"/>
      <w:bCs w:val="false"/>
      <w:i w:val="false"/>
      <w:iCs w:val="false"/>
      <w:caps w:val="false"/>
      <w:smallCaps w:val="false"/>
      <w:strike w:val="false"/>
      <w:dstrike w:val="false"/>
      <w:vanish w:val="false"/>
      <w:color w:val="auto"/>
      <w:spacing w:val="0"/>
      <w:kern w:val="0"/>
      <w:position w:val="0"/>
      <w:sz w:val="24"/>
      <w:sz w:val="24"/>
      <w:szCs w:val="24"/>
      <w:u w:val="none"/>
      <w:vertAlign w:val="baseline"/>
      <w:lang w:val="ru-RU" w:eastAsia="ru-RU" w:bidi="ar-SA"/>
      <w14:ligatures w14:val="none"/>
    </w:rPr>
  </w:style>
  <w:style w:type="paragraph" w:styleId="Main14" w:customStyle="1">
    <w:name w:val="Main 14"/>
    <w:uiPriority w:val="99"/>
    <w:qFormat/>
    <w:pPr>
      <w:keepNext w:val="false"/>
      <w:keepLines w:val="false"/>
      <w:pageBreakBefore w:val="false"/>
      <w:widowControl/>
      <w:shd w:val="nil"/>
      <w:suppressAutoHyphens w:val="true"/>
      <w:bidi w:val="0"/>
      <w:spacing w:lineRule="auto" w:line="312" w:beforeAutospacing="0" w:before="60" w:afterAutospacing="0" w:after="0"/>
      <w:ind w:left="0" w:right="0" w:firstLine="709"/>
      <w:jc w:val="both"/>
    </w:pPr>
    <w:rPr>
      <w:rFonts w:ascii="Times New Roman" w:hAnsi="Times New Roman" w:eastAsia="Batang" w:cs="Times New Roman"/>
      <w:b w:val="false"/>
      <w:bCs w:val="false"/>
      <w:i w:val="false"/>
      <w:iCs w:val="false"/>
      <w:caps w:val="false"/>
      <w:smallCaps w:val="false"/>
      <w:strike w:val="false"/>
      <w:dstrike w:val="false"/>
      <w:vanish w:val="false"/>
      <w:color w:val="auto"/>
      <w:spacing w:val="0"/>
      <w:kern w:val="0"/>
      <w:position w:val="0"/>
      <w:sz w:val="28"/>
      <w:sz w:val="28"/>
      <w:szCs w:val="28"/>
      <w:u w:val="none"/>
      <w:vertAlign w:val="baseline"/>
      <w:lang w:val="ru-RU" w:eastAsia="ko-KR" w:bidi="ar-SA"/>
      <w14:ligatures w14:val="none"/>
    </w:rPr>
  </w:style>
  <w:style w:type="paragraph" w:styleId="ConsTitle" w:customStyle="1">
    <w:name w:val="ConsTitle"/>
    <w:qFormat/>
    <w:pPr>
      <w:keepNext w:val="false"/>
      <w:keepLines w:val="false"/>
      <w:pageBreakBefore w:val="false"/>
      <w:widowControl/>
      <w:shd w:val="nil"/>
      <w:suppressAutoHyphens w:val="true"/>
      <w:bidi w:val="0"/>
      <w:spacing w:lineRule="auto" w:line="240" w:beforeAutospacing="0" w:before="0" w:afterAutospacing="0" w:after="0"/>
      <w:ind w:left="0" w:right="0" w:hanging="0"/>
      <w:jc w:val="left"/>
    </w:pPr>
    <w:rPr>
      <w:rFonts w:ascii="Arial" w:hAnsi="Arial" w:eastAsia="Times New Roman" w:cs="Arial"/>
      <w:b/>
      <w:bCs/>
      <w:i w:val="false"/>
      <w:iCs w:val="false"/>
      <w:caps w:val="false"/>
      <w:smallCaps w:val="false"/>
      <w:strike w:val="false"/>
      <w:dstrike w:val="false"/>
      <w:vanish w:val="false"/>
      <w:color w:val="auto"/>
      <w:spacing w:val="0"/>
      <w:kern w:val="0"/>
      <w:position w:val="0"/>
      <w:sz w:val="16"/>
      <w:sz w:val="16"/>
      <w:szCs w:val="16"/>
      <w:u w:val="none"/>
      <w:vertAlign w:val="baseline"/>
      <w:lang w:val="ru-RU" w:eastAsia="ru-RU" w:bidi="ar-SA"/>
      <w14:ligatures w14:val="none"/>
    </w:rPr>
  </w:style>
  <w:style w:type="paragraph" w:styleId="Style32">
    <w:name w:val="Содержимое врезки"/>
    <w:basedOn w:val="Normal"/>
    <w:qFormat/>
    <w:pPr/>
    <w:rPr/>
  </w:style>
  <w:style w:type="paragraph" w:styleId="Style33">
    <w:name w:val="Текст в заданном формате"/>
    <w:basedOn w:val="Normal"/>
    <w:qFormat/>
    <w:pPr>
      <w:spacing w:before="0" w:after="0"/>
    </w:pPr>
    <w:rPr>
      <w:rFonts w:ascii="Liberation Mono" w:hAnsi="Liberation Mono" w:eastAsia="Liberation Mono" w:cs="Liberation Mono"/>
      <w:sz w:val="20"/>
      <w:szCs w:val="20"/>
    </w:rPr>
  </w:style>
  <w:style w:type="numbering" w:styleId="NoList" w:default="1">
    <w:name w:val="No List"/>
    <w:uiPriority w:val="99"/>
    <w:semiHidden/>
    <w:unhideWhenUsed/>
    <w:qFormat/>
  </w:style>
  <w:style w:type="numbering" w:styleId="110" w:customStyle="1">
    <w:name w:val="Стиль1"/>
    <w:uiPriority w:val="99"/>
    <w:qFormat/>
  </w:style>
  <w:style w:type="numbering" w:styleId="29" w:customStyle="1">
    <w:name w:val="Стиль2"/>
    <w:uiPriority w:val="99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s://login.consultant.ru/link/?req=doc&amp;base=LAW&amp;n=494318&amp;dst=100007" TargetMode="External"/><Relationship Id="rId3" Type="http://schemas.openxmlformats.org/officeDocument/2006/relationships/header" Target="header1.xml"/><Relationship Id="rId4" Type="http://schemas.openxmlformats.org/officeDocument/2006/relationships/header" Target="header2.xml"/><Relationship Id="rId5" Type="http://schemas.openxmlformats.org/officeDocument/2006/relationships/header" Target="header3.xml"/><Relationship Id="rId6" Type="http://schemas.openxmlformats.org/officeDocument/2006/relationships/numbering" Target="numbering.xml"/><Relationship Id="rId7" Type="http://schemas.openxmlformats.org/officeDocument/2006/relationships/fontTable" Target="fontTable.xml"/><Relationship Id="rId8" Type="http://schemas.openxmlformats.org/officeDocument/2006/relationships/settings" Target="settings.xml"/><Relationship Id="rId9" Type="http://schemas.openxmlformats.org/officeDocument/2006/relationships/theme" Target="theme/theme1.xml"/><Relationship Id="rId10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F46BA6-8C9E-4269-90CF-AFC3193D5E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Application>AlterOffice/2025.3.1.0$Linux_X86_64 LibreOffice_project/431cd1b79110582f53535c95ed0a2449aadc8bf9</Application>
  <AppVersion>15.0000</AppVersion>
  <Pages>7</Pages>
  <Words>904</Words>
  <Characters>6422</Characters>
  <CharactersWithSpaces>7240</CharactersWithSpaces>
  <Paragraphs>135</Paragraphs>
  <Company>Microsoft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2024-03-12T00:51:00Z</dcterms:created>
  <dc:creator>Быстров Олег Геннадьевич</dc:creator>
  <dc:description/>
  <dc:language>ru-RU</dc:language>
  <cp:lastModifiedBy>kilina_ns@DGK.RU</cp:lastModifiedBy>
  <dcterms:modified xsi:type="dcterms:W3CDTF">2026-03-25T12:23:10Z</dcterms:modified>
  <cp:revision>40</cp:revision>
  <dc:subject/>
  <dc:title>Российское открытое акционерное общество энергетики и электрификации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